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7778A" w14:textId="77777777" w:rsidR="0000551E" w:rsidRDefault="0000551E" w:rsidP="00646504">
      <w:pPr>
        <w:jc w:val="center"/>
        <w:rPr>
          <w:b/>
        </w:rPr>
      </w:pPr>
    </w:p>
    <w:p w14:paraId="64CED110" w14:textId="77777777" w:rsidR="0000551E" w:rsidRDefault="0000551E" w:rsidP="00646504">
      <w:pPr>
        <w:pStyle w:val="Heading1"/>
      </w:pPr>
      <w:r>
        <w:t xml:space="preserve">Title: </w:t>
      </w:r>
      <w:r w:rsidRPr="00476D40">
        <w:t xml:space="preserve">Educational Needs </w:t>
      </w:r>
      <w:r>
        <w:t xml:space="preserve">and Workplace Opportunities </w:t>
      </w:r>
      <w:r w:rsidRPr="00476D40">
        <w:t xml:space="preserve">of Allied Health Assistants: a qualitative pilot </w:t>
      </w:r>
    </w:p>
    <w:p w14:paraId="6D3734F7" w14:textId="77777777" w:rsidR="0000551E" w:rsidRPr="00451A93" w:rsidRDefault="0000551E" w:rsidP="00646504">
      <w:pPr>
        <w:rPr>
          <w:b/>
        </w:rPr>
      </w:pPr>
      <w:r w:rsidRPr="00451A93">
        <w:rPr>
          <w:b/>
        </w:rPr>
        <w:t xml:space="preserve">Authors Details: </w:t>
      </w:r>
    </w:p>
    <w:p w14:paraId="79F7E5FB" w14:textId="77777777" w:rsidR="0000551E" w:rsidRDefault="0000551E" w:rsidP="00646504">
      <w:r>
        <w:t xml:space="preserve">Sharon Mickan, Griffith Health, Gold Coast Campus, Griffith University </w:t>
      </w:r>
      <w:hyperlink r:id="rId8" w:history="1">
        <w:r w:rsidRPr="00185409">
          <w:rPr>
            <w:rStyle w:val="Hyperlink"/>
          </w:rPr>
          <w:t>s.mickan@griffith.edu.au</w:t>
        </w:r>
      </w:hyperlink>
      <w:r>
        <w:t xml:space="preserve"> (corresponding author) </w:t>
      </w:r>
    </w:p>
    <w:p w14:paraId="363ED0EF" w14:textId="77777777" w:rsidR="0000551E" w:rsidRDefault="0000551E" w:rsidP="00646504">
      <w:r>
        <w:t xml:space="preserve"> Xanthe Golenko, </w:t>
      </w:r>
      <w:r w:rsidRPr="00451A93">
        <w:t xml:space="preserve">Griffith Health, Gold Coast Campus, Griffith University </w:t>
      </w:r>
      <w:r>
        <w:t>x.golenko</w:t>
      </w:r>
      <w:r w:rsidRPr="00451A93">
        <w:t>@griffith.edu.au</w:t>
      </w:r>
    </w:p>
    <w:p w14:paraId="22E23951" w14:textId="77777777" w:rsidR="0000551E" w:rsidRDefault="0000551E" w:rsidP="00646504">
      <w:r>
        <w:t>Nicholas Buys</w:t>
      </w:r>
      <w:r w:rsidRPr="00451A93">
        <w:t xml:space="preserve"> Griffith Health, Gold Coast Campus, Griffith University </w:t>
      </w:r>
      <w:r>
        <w:t>n.buys</w:t>
      </w:r>
      <w:r w:rsidRPr="00451A93">
        <w:t>@griffith.edu.au</w:t>
      </w:r>
    </w:p>
    <w:p w14:paraId="5BBD9FC2" w14:textId="77777777" w:rsidR="0000551E" w:rsidRPr="003440F1" w:rsidRDefault="0000551E" w:rsidP="00646504"/>
    <w:p w14:paraId="14A6AC52" w14:textId="77777777" w:rsidR="0000551E" w:rsidRDefault="0000551E" w:rsidP="00646504">
      <w:r w:rsidRPr="00451A93">
        <w:rPr>
          <w:b/>
        </w:rPr>
        <w:t>Abstract</w:t>
      </w:r>
      <w:r>
        <w:t xml:space="preserve">  (211 words)</w:t>
      </w:r>
    </w:p>
    <w:p w14:paraId="592D8D45" w14:textId="77777777" w:rsidR="0000551E" w:rsidRPr="00A42F3A" w:rsidRDefault="0000551E" w:rsidP="00646504">
      <w:pPr>
        <w:spacing w:line="480" w:lineRule="auto"/>
        <w:rPr>
          <w:b/>
        </w:rPr>
      </w:pPr>
      <w:r w:rsidRPr="00A42F3A">
        <w:rPr>
          <w:b/>
        </w:rPr>
        <w:t>Introduction</w:t>
      </w:r>
    </w:p>
    <w:p w14:paraId="439174D8" w14:textId="77777777" w:rsidR="0000551E" w:rsidRDefault="0000551E" w:rsidP="00646504">
      <w:pPr>
        <w:spacing w:line="480" w:lineRule="auto"/>
      </w:pPr>
      <w:r>
        <w:t xml:space="preserve">Healthcare assistants perform a broad range of clinical and administrative tasks across many clinical settings, and are supervised by most professional groups. This diversity challenges their consistent scope of practice and patterns of skill utilisation. It is not clear whether formal education in universities could better </w:t>
      </w:r>
      <w:r w:rsidRPr="00A42F3A">
        <w:t xml:space="preserve">shape the role and workforce opportunities for the </w:t>
      </w:r>
      <w:r>
        <w:t>allied health assistant</w:t>
      </w:r>
      <w:r w:rsidRPr="00A42F3A">
        <w:t xml:space="preserve"> workforce</w:t>
      </w:r>
    </w:p>
    <w:p w14:paraId="3E3C6812" w14:textId="77777777" w:rsidR="0000551E" w:rsidRPr="00A42F3A" w:rsidRDefault="0000551E" w:rsidP="00646504">
      <w:pPr>
        <w:spacing w:line="480" w:lineRule="auto"/>
        <w:rPr>
          <w:b/>
        </w:rPr>
      </w:pPr>
      <w:r w:rsidRPr="00A42F3A">
        <w:rPr>
          <w:b/>
        </w:rPr>
        <w:t>Methods and analysis</w:t>
      </w:r>
    </w:p>
    <w:p w14:paraId="2E716011" w14:textId="00A5041E" w:rsidR="0000551E" w:rsidRDefault="0000551E" w:rsidP="00646504">
      <w:pPr>
        <w:spacing w:line="480" w:lineRule="auto"/>
      </w:pPr>
      <w:r>
        <w:t xml:space="preserve">An exploratory qualitative study was designed to investigate the perspectives of senior allied health clinicians and academics </w:t>
      </w:r>
      <w:r w:rsidR="008560BC" w:rsidRPr="008560BC">
        <w:t>about the educational needs and workplace opportunities for AHAs. We were interested in whether university education for AHAs could help to shape consistent roles and expectations of AHAs for the future workforce</w:t>
      </w:r>
      <w:r w:rsidR="008560BC">
        <w:t xml:space="preserve">. </w:t>
      </w:r>
      <w:r>
        <w:t>A convenience sample of participants w</w:t>
      </w:r>
      <w:r w:rsidR="00C54C8F">
        <w:t>as</w:t>
      </w:r>
      <w:r>
        <w:t xml:space="preserve"> invited to</w:t>
      </w:r>
      <w:r w:rsidR="00C54C8F">
        <w:t xml:space="preserve"> participate in</w:t>
      </w:r>
      <w:r>
        <w:t xml:space="preserve"> </w:t>
      </w:r>
      <w:r w:rsidR="008560BC">
        <w:t xml:space="preserve">exploratory semi-structured </w:t>
      </w:r>
      <w:r>
        <w:t>interview</w:t>
      </w:r>
      <w:r w:rsidR="008560BC">
        <w:t>s</w:t>
      </w:r>
      <w:r>
        <w:t xml:space="preserve">, and their responses were thematically analysed. </w:t>
      </w:r>
    </w:p>
    <w:p w14:paraId="4E7F4ABC" w14:textId="77777777" w:rsidR="0000551E" w:rsidRPr="00A42F3A" w:rsidRDefault="0000551E" w:rsidP="00646504">
      <w:pPr>
        <w:spacing w:line="480" w:lineRule="auto"/>
        <w:rPr>
          <w:b/>
        </w:rPr>
      </w:pPr>
      <w:r w:rsidRPr="00A42F3A">
        <w:rPr>
          <w:b/>
        </w:rPr>
        <w:t>Results</w:t>
      </w:r>
    </w:p>
    <w:p w14:paraId="0462F0FB" w14:textId="6C69C653" w:rsidR="0000551E" w:rsidRDefault="007F3735" w:rsidP="00646504">
      <w:pPr>
        <w:spacing w:line="480" w:lineRule="auto"/>
      </w:pPr>
      <w:r>
        <w:lastRenderedPageBreak/>
        <w:t xml:space="preserve">Twelve </w:t>
      </w:r>
      <w:r w:rsidR="0000551E">
        <w:t>participants represent</w:t>
      </w:r>
      <w:r w:rsidR="009411CD">
        <w:t xml:space="preserve">ing </w:t>
      </w:r>
      <w:r w:rsidR="0000551E">
        <w:t>eight different allied health professions</w:t>
      </w:r>
      <w:r w:rsidR="009411CD">
        <w:t xml:space="preserve"> were interviewed</w:t>
      </w:r>
      <w:r w:rsidR="0000551E">
        <w:t xml:space="preserve">. Three themes emerged. Participants described and reinforced the </w:t>
      </w:r>
      <w:r w:rsidR="009411CD">
        <w:t>d</w:t>
      </w:r>
      <w:r w:rsidR="009411CD" w:rsidRPr="00EE31FC">
        <w:t>iverse roles, capabilities and expectations of the health assistant workforce</w:t>
      </w:r>
      <w:r w:rsidR="0000551E">
        <w:t xml:space="preserve">. Current vocational training was seen as </w:t>
      </w:r>
      <w:r w:rsidR="00C71D70">
        <w:t>inconsistent and</w:t>
      </w:r>
      <w:r w:rsidR="009411CD">
        <w:t xml:space="preserve"> in</w:t>
      </w:r>
      <w:r w:rsidR="0000551E">
        <w:t xml:space="preserve">sufficient </w:t>
      </w:r>
      <w:r w:rsidR="009411CD">
        <w:t xml:space="preserve">and </w:t>
      </w:r>
      <w:r w:rsidR="0000551E">
        <w:t xml:space="preserve">participants reported significant local training </w:t>
      </w:r>
      <w:r w:rsidR="00C71D70">
        <w:t xml:space="preserve">occurring </w:t>
      </w:r>
      <w:r w:rsidR="0000551E">
        <w:t>to meet the expectations of different work environments. Future educational pathways in universit</w:t>
      </w:r>
      <w:r w:rsidR="00C54C8F">
        <w:t>ies</w:t>
      </w:r>
      <w:r w:rsidR="0000551E">
        <w:t xml:space="preserve"> were not supported by any participants, for many largely practical reasons.</w:t>
      </w:r>
    </w:p>
    <w:p w14:paraId="62C38920" w14:textId="77777777" w:rsidR="0000551E" w:rsidRDefault="0000551E" w:rsidP="00646504">
      <w:pPr>
        <w:spacing w:line="480" w:lineRule="auto"/>
        <w:rPr>
          <w:b/>
        </w:rPr>
      </w:pPr>
      <w:r w:rsidRPr="00A42F3A">
        <w:rPr>
          <w:b/>
        </w:rPr>
        <w:t>Conclusion</w:t>
      </w:r>
    </w:p>
    <w:p w14:paraId="02707675" w14:textId="30D27AB2" w:rsidR="0000551E" w:rsidRPr="008470C8" w:rsidRDefault="0000551E" w:rsidP="00646504">
      <w:pPr>
        <w:spacing w:line="480" w:lineRule="auto"/>
      </w:pPr>
      <w:r>
        <w:t xml:space="preserve">It seems that university level education </w:t>
      </w:r>
      <w:r w:rsidR="00C7740E">
        <w:t xml:space="preserve">is </w:t>
      </w:r>
      <w:r>
        <w:t xml:space="preserve">not </w:t>
      </w:r>
      <w:r w:rsidR="004F7A39">
        <w:t xml:space="preserve">considered </w:t>
      </w:r>
      <w:r>
        <w:t xml:space="preserve">a feasible tool to ensure consistent workforce roles and expectations for allied health assistants. </w:t>
      </w:r>
      <w:r w:rsidR="00C7740E" w:rsidRPr="00C7740E">
        <w:t xml:space="preserve">Instead, AHAs </w:t>
      </w:r>
      <w:r w:rsidR="00C54C8F">
        <w:t xml:space="preserve">may </w:t>
      </w:r>
      <w:r w:rsidR="00C7740E" w:rsidRPr="00C7740E">
        <w:t>need integrated educational pathways across vocational training and workplace environments. Continued workforce design is required to align assistant and professional roles and expectations.</w:t>
      </w:r>
    </w:p>
    <w:p w14:paraId="2F7D1436" w14:textId="77777777" w:rsidR="0000551E" w:rsidRDefault="0000551E" w:rsidP="00646504">
      <w:pPr>
        <w:jc w:val="center"/>
        <w:rPr>
          <w:b/>
          <w:sz w:val="32"/>
          <w:szCs w:val="32"/>
        </w:rPr>
      </w:pPr>
    </w:p>
    <w:p w14:paraId="6C7D2DD0" w14:textId="77777777" w:rsidR="0000551E" w:rsidRPr="001B3A50" w:rsidRDefault="0000551E" w:rsidP="00646504">
      <w:pPr>
        <w:spacing w:line="480" w:lineRule="auto"/>
        <w:rPr>
          <w:b/>
        </w:rPr>
      </w:pPr>
      <w:r w:rsidRPr="001B3A50">
        <w:rPr>
          <w:b/>
        </w:rPr>
        <w:t>Key words</w:t>
      </w:r>
    </w:p>
    <w:p w14:paraId="19537F5F" w14:textId="77777777" w:rsidR="0000551E" w:rsidRDefault="0000551E" w:rsidP="00646504">
      <w:pPr>
        <w:spacing w:after="240" w:line="480" w:lineRule="auto"/>
        <w:jc w:val="both"/>
      </w:pPr>
      <w:r>
        <w:t>Allied Health Professional</w:t>
      </w:r>
    </w:p>
    <w:p w14:paraId="334A2E43" w14:textId="77777777" w:rsidR="0000551E" w:rsidRDefault="0000551E" w:rsidP="00646504">
      <w:pPr>
        <w:spacing w:after="240" w:line="480" w:lineRule="auto"/>
        <w:jc w:val="both"/>
      </w:pPr>
      <w:r>
        <w:t xml:space="preserve">Healthcare Assistants </w:t>
      </w:r>
    </w:p>
    <w:p w14:paraId="3FDD9682" w14:textId="77777777" w:rsidR="0000551E" w:rsidRDefault="0000551E" w:rsidP="00646504">
      <w:pPr>
        <w:spacing w:after="240" w:line="480" w:lineRule="auto"/>
        <w:jc w:val="both"/>
      </w:pPr>
      <w:r w:rsidRPr="001B3A50">
        <w:t>Vocational Training</w:t>
      </w:r>
    </w:p>
    <w:p w14:paraId="32E3CEB9" w14:textId="77777777" w:rsidR="0000551E" w:rsidRDefault="0000551E" w:rsidP="00646504">
      <w:pPr>
        <w:spacing w:after="240" w:line="480" w:lineRule="auto"/>
        <w:jc w:val="both"/>
      </w:pPr>
      <w:r w:rsidRPr="001B3A50">
        <w:t>Educational Needs Assessment</w:t>
      </w:r>
    </w:p>
    <w:p w14:paraId="687E4C59" w14:textId="77777777" w:rsidR="0000551E" w:rsidRDefault="0000551E" w:rsidP="00646504">
      <w:pPr>
        <w:spacing w:after="240" w:line="480" w:lineRule="auto"/>
        <w:jc w:val="both"/>
      </w:pPr>
      <w:r w:rsidRPr="001B3A50">
        <w:t>Professional Education</w:t>
      </w:r>
    </w:p>
    <w:p w14:paraId="5043D490" w14:textId="77777777" w:rsidR="0000551E" w:rsidRDefault="0000551E" w:rsidP="00646504">
      <w:pPr>
        <w:spacing w:after="240" w:line="480" w:lineRule="auto"/>
        <w:jc w:val="both"/>
      </w:pPr>
    </w:p>
    <w:p w14:paraId="553E772C" w14:textId="77777777" w:rsidR="0000551E" w:rsidRPr="00451A93" w:rsidRDefault="0000551E" w:rsidP="00646504">
      <w:pPr>
        <w:spacing w:after="240" w:line="480" w:lineRule="auto"/>
        <w:jc w:val="both"/>
        <w:rPr>
          <w:b/>
        </w:rPr>
      </w:pPr>
      <w:r w:rsidRPr="00451A93">
        <w:rPr>
          <w:b/>
        </w:rPr>
        <w:t>Conflict of Interest Statement:</w:t>
      </w:r>
    </w:p>
    <w:p w14:paraId="586EAB2C" w14:textId="77777777" w:rsidR="0000551E" w:rsidRDefault="0000551E" w:rsidP="00646504">
      <w:pPr>
        <w:spacing w:after="240" w:line="480" w:lineRule="auto"/>
        <w:jc w:val="both"/>
      </w:pPr>
      <w:r>
        <w:lastRenderedPageBreak/>
        <w:t>No conflict of interest exist for all authors</w:t>
      </w:r>
    </w:p>
    <w:p w14:paraId="28A9AF2C" w14:textId="77777777" w:rsidR="0000551E" w:rsidRDefault="0000551E" w:rsidP="00646504">
      <w:pPr>
        <w:spacing w:after="240" w:line="480" w:lineRule="auto"/>
        <w:jc w:val="both"/>
      </w:pPr>
    </w:p>
    <w:p w14:paraId="10B1EBF3" w14:textId="77777777" w:rsidR="0000551E" w:rsidRPr="00451A93" w:rsidRDefault="0000551E" w:rsidP="00646504">
      <w:pPr>
        <w:spacing w:after="240" w:line="480" w:lineRule="auto"/>
        <w:jc w:val="both"/>
        <w:rPr>
          <w:b/>
        </w:rPr>
      </w:pPr>
      <w:r w:rsidRPr="00451A93">
        <w:rPr>
          <w:b/>
        </w:rPr>
        <w:t>Publication Statement:</w:t>
      </w:r>
    </w:p>
    <w:p w14:paraId="14B58F43" w14:textId="77777777" w:rsidR="0000551E" w:rsidRDefault="0000551E" w:rsidP="00646504">
      <w:pPr>
        <w:spacing w:after="240" w:line="480" w:lineRule="auto"/>
        <w:jc w:val="both"/>
        <w:rPr>
          <w:rFonts w:ascii="Times New Roman" w:eastAsiaTheme="majorEastAsia" w:hAnsi="Times New Roman"/>
          <w:b/>
          <w:bCs/>
          <w:sz w:val="28"/>
          <w:szCs w:val="28"/>
        </w:rPr>
      </w:pPr>
      <w:r>
        <w:t>This work has not been published elsewhere, the text adheres to the Author Guidelines, and all authors have contributed to the paper and are accountable for the accuracy and integrity of all aspects of the work. All authors agree to the journal’s copyright conditions.</w:t>
      </w:r>
      <w:r>
        <w:br w:type="page"/>
      </w:r>
    </w:p>
    <w:p w14:paraId="1445C9D8" w14:textId="77777777" w:rsidR="0000551E" w:rsidRDefault="0000551E" w:rsidP="00646504">
      <w:pPr>
        <w:pStyle w:val="Heading1"/>
      </w:pPr>
      <w:r>
        <w:lastRenderedPageBreak/>
        <w:t>Article (3025 words)</w:t>
      </w:r>
    </w:p>
    <w:p w14:paraId="545D2867" w14:textId="77777777" w:rsidR="0000551E" w:rsidRDefault="0000551E" w:rsidP="00646504">
      <w:pPr>
        <w:pStyle w:val="Heading1"/>
        <w:spacing w:line="480" w:lineRule="auto"/>
      </w:pPr>
      <w:r>
        <w:t>Introduction</w:t>
      </w:r>
    </w:p>
    <w:p w14:paraId="0773DF50" w14:textId="77777777" w:rsidR="004F7A39" w:rsidRDefault="0000551E" w:rsidP="00646504">
      <w:pPr>
        <w:spacing w:line="480" w:lineRule="auto"/>
      </w:pPr>
      <w:r>
        <w:t xml:space="preserve">Healthcare services globally are being challenged to respond to increasing technology and changing population profiles. Patients have greater access to information which, shapes their expectations and abilities to participate in their healthcare decisions. Further, with an ageing population, current systems cannot sustain the management of chronic and complex diseases in hospital based care. Consequently, healthcare systems and funding arrangements are changing, along with the practice and expectations of healthcare workers </w:t>
      </w:r>
      <w:r>
        <w:rPr>
          <w:noProof/>
        </w:rPr>
        <w:t>(Pearce &amp; Pagett, 2015)</w:t>
      </w:r>
      <w:r>
        <w:t xml:space="preserve">. </w:t>
      </w:r>
      <w:r w:rsidR="001F629A">
        <w:t>The shortage of health professionals in Australia has prompted workforce redesign initiatives</w:t>
      </w:r>
      <w:r w:rsidR="000572E8">
        <w:t xml:space="preserve"> and shifting b</w:t>
      </w:r>
      <w:r>
        <w:t xml:space="preserve">oundaries between health professionals </w:t>
      </w:r>
      <w:r>
        <w:rPr>
          <w:noProof/>
        </w:rPr>
        <w:t>(</w:t>
      </w:r>
      <w:r w:rsidR="007F3735">
        <w:rPr>
          <w:noProof/>
        </w:rPr>
        <w:t xml:space="preserve">Duckett, 2005; </w:t>
      </w:r>
      <w:r>
        <w:rPr>
          <w:noProof/>
        </w:rPr>
        <w:t>Nancarrow &amp; Borthwick, 2005</w:t>
      </w:r>
      <w:r w:rsidR="000572E8">
        <w:rPr>
          <w:noProof/>
        </w:rPr>
        <w:t>; Stanhope &amp; Pearce, 2013</w:t>
      </w:r>
      <w:r>
        <w:rPr>
          <w:noProof/>
        </w:rPr>
        <w:t>)</w:t>
      </w:r>
      <w:r>
        <w:t xml:space="preserve">. Medical specialists are sharing first contact for outpatients with </w:t>
      </w:r>
      <w:r w:rsidR="0027224B">
        <w:t>extended scope</w:t>
      </w:r>
      <w:r w:rsidR="00DE2AC2">
        <w:t xml:space="preserve"> </w:t>
      </w:r>
      <w:r w:rsidR="000A238D">
        <w:t>allied health professionals (</w:t>
      </w:r>
      <w:r w:rsidR="004B3949">
        <w:t>AHPs</w:t>
      </w:r>
      <w:r w:rsidR="000A238D">
        <w:t>)</w:t>
      </w:r>
      <w:r w:rsidR="004B3949">
        <w:t xml:space="preserve"> </w:t>
      </w:r>
      <w:r>
        <w:t xml:space="preserve">and </w:t>
      </w:r>
      <w:r w:rsidR="0027224B">
        <w:t>nurse practitioners</w:t>
      </w:r>
      <w:r w:rsidR="00DE2AC2">
        <w:t>. With appropriate systems and supports, these extended scope roles meet patient expectations for safe, effective and efficient care in areas of workforce shortage (Turnbull et al</w:t>
      </w:r>
      <w:r w:rsidR="00280917">
        <w:t>.</w:t>
      </w:r>
      <w:r w:rsidR="00DE2AC2">
        <w:t>, 2009).</w:t>
      </w:r>
      <w:r>
        <w:t xml:space="preserve"> At the same time, AHPs are allocating tasks to allied health assistants (AHAs)</w:t>
      </w:r>
      <w:r w:rsidR="008560BC">
        <w:t xml:space="preserve"> </w:t>
      </w:r>
      <w:r w:rsidR="0041482B">
        <w:t xml:space="preserve">on the premise </w:t>
      </w:r>
      <w:r w:rsidR="00916D7C">
        <w:t>that t</w:t>
      </w:r>
      <w:r w:rsidR="007F3735">
        <w:t>he use of AHAs can better manage demands on allied health services, improve patient outcomes and more efficiently maximise skills of the workforce (</w:t>
      </w:r>
      <w:r w:rsidR="008560BC">
        <w:rPr>
          <w:noProof/>
        </w:rPr>
        <w:t xml:space="preserve">Nancarrow et al., 2013; </w:t>
      </w:r>
      <w:r w:rsidR="007F3735">
        <w:t>Stute et al., 2013).</w:t>
      </w:r>
    </w:p>
    <w:p w14:paraId="65F5CE5C" w14:textId="77777777" w:rsidR="004F7A39" w:rsidRDefault="004F7A39" w:rsidP="00646504">
      <w:pPr>
        <w:spacing w:line="480" w:lineRule="auto"/>
      </w:pPr>
    </w:p>
    <w:p w14:paraId="43F2D03F" w14:textId="6CFEE166" w:rsidR="0000551E" w:rsidRDefault="00B42684" w:rsidP="00646504">
      <w:pPr>
        <w:spacing w:line="480" w:lineRule="auto"/>
      </w:pPr>
      <w:r>
        <w:t xml:space="preserve">AHAs work under the delegation and supervision of </w:t>
      </w:r>
      <w:r w:rsidR="00164222">
        <w:t xml:space="preserve">many </w:t>
      </w:r>
      <w:r>
        <w:t xml:space="preserve">AHPs, </w:t>
      </w:r>
      <w:r w:rsidR="0000551E">
        <w:t>with adults and children across a full range of clinical conditions</w:t>
      </w:r>
      <w:r w:rsidR="0000551E" w:rsidRPr="009D446B">
        <w:t xml:space="preserve"> </w:t>
      </w:r>
      <w:r w:rsidR="0000551E">
        <w:t>and environments, p</w:t>
      </w:r>
      <w:r w:rsidR="00164222">
        <w:t xml:space="preserve">roviding </w:t>
      </w:r>
      <w:r w:rsidR="0000551E">
        <w:t xml:space="preserve">direct </w:t>
      </w:r>
      <w:r w:rsidR="00164222">
        <w:t xml:space="preserve">client </w:t>
      </w:r>
      <w:r w:rsidR="0000551E">
        <w:t>care and indirect support</w:t>
      </w:r>
      <w:r w:rsidR="00164222">
        <w:t xml:space="preserve">. </w:t>
      </w:r>
      <w:r>
        <w:t xml:space="preserve"> </w:t>
      </w:r>
      <w:r w:rsidR="000572E8">
        <w:t xml:space="preserve">The actual range and type of clinical and </w:t>
      </w:r>
      <w:r w:rsidR="007F3735">
        <w:t>administrative duties varies</w:t>
      </w:r>
      <w:r w:rsidR="003B5B69">
        <w:t xml:space="preserve"> according to local clinical teams, their structures and processes</w:t>
      </w:r>
      <w:r w:rsidR="007F3735">
        <w:t xml:space="preserve">. Clinical duties include </w:t>
      </w:r>
      <w:r w:rsidR="003B5B69">
        <w:t xml:space="preserve">administering clinical services, preparing patients and providing patient education and </w:t>
      </w:r>
      <w:r w:rsidR="003B5B69">
        <w:lastRenderedPageBreak/>
        <w:t>supervision</w:t>
      </w:r>
      <w:r w:rsidR="007F3735">
        <w:t>. Administrative duties include</w:t>
      </w:r>
      <w:r w:rsidR="003B5B69">
        <w:t xml:space="preserve"> preparing clinical environments, maintaining equipment, monitoring databases and housekeeping (Lizarondo et al., 2010). </w:t>
      </w:r>
      <w:r w:rsidR="001F629A">
        <w:t>The</w:t>
      </w:r>
      <w:r w:rsidR="003B5B69">
        <w:t xml:space="preserve"> use of AHAs </w:t>
      </w:r>
      <w:r w:rsidR="001F629A">
        <w:t>ha</w:t>
      </w:r>
      <w:r w:rsidR="003B5B69">
        <w:t>s</w:t>
      </w:r>
      <w:r w:rsidR="001F629A">
        <w:t xml:space="preserve"> been reported to reduce the caseload burden of AHPs and create more time for them to concentrate on complex tasks (O’Brien et al., 2013). </w:t>
      </w:r>
      <w:r w:rsidR="0000551E">
        <w:t xml:space="preserve">AHAs are well accepted by clients who appreciate the additional therapy time they receive. Healthcare benefits from using health assistants include increased intensity of clinical care, optimised patient flow, better professional skill usage and increased patient satisfaction </w:t>
      </w:r>
      <w:r w:rsidR="0000551E">
        <w:rPr>
          <w:noProof/>
        </w:rPr>
        <w:t>(Lizarondo et al., 2010</w:t>
      </w:r>
      <w:r w:rsidR="00AB26A1">
        <w:t xml:space="preserve">; </w:t>
      </w:r>
      <w:r w:rsidR="001F629A">
        <w:t xml:space="preserve">O’Brien et al., 2013; </w:t>
      </w:r>
      <w:r w:rsidR="00AB26A1">
        <w:t xml:space="preserve">Stute et al., 2014). </w:t>
      </w:r>
    </w:p>
    <w:p w14:paraId="552BC9DE" w14:textId="77777777" w:rsidR="0000551E" w:rsidRDefault="0000551E" w:rsidP="00646504">
      <w:pPr>
        <w:spacing w:line="480" w:lineRule="auto"/>
      </w:pPr>
    </w:p>
    <w:p w14:paraId="6D2A1A4A" w14:textId="472D7821" w:rsidR="008560BC" w:rsidRDefault="0000551E" w:rsidP="00646504">
      <w:pPr>
        <w:spacing w:line="480" w:lineRule="auto"/>
      </w:pPr>
      <w:r>
        <w:t xml:space="preserve">Despite multiple initiatives across Australia to expand the scope of practice for AHPs and consequently increase opportunities to delegate to the AHA workforce, there has been limited consistent uptake of AHA roles </w:t>
      </w:r>
      <w:r>
        <w:rPr>
          <w:noProof/>
        </w:rPr>
        <w:t>(Stanhope &amp; Pearce, 2013</w:t>
      </w:r>
      <w:r w:rsidR="007F3735">
        <w:rPr>
          <w:noProof/>
        </w:rPr>
        <w:t>; Stute et al., 2013</w:t>
      </w:r>
      <w:r>
        <w:rPr>
          <w:noProof/>
        </w:rPr>
        <w:t>)</w:t>
      </w:r>
      <w:r>
        <w:t xml:space="preserve">.  </w:t>
      </w:r>
      <w:r w:rsidRPr="00C71E00">
        <w:t>Th</w:t>
      </w:r>
      <w:r>
        <w:t>e</w:t>
      </w:r>
      <w:r w:rsidRPr="00C71E00">
        <w:t xml:space="preserve"> diversity of tasks</w:t>
      </w:r>
      <w:r>
        <w:t xml:space="preserve"> and work </w:t>
      </w:r>
      <w:r w:rsidRPr="00C71E00">
        <w:t>setting</w:t>
      </w:r>
      <w:r>
        <w:t>s</w:t>
      </w:r>
      <w:r w:rsidRPr="00C71E00">
        <w:t xml:space="preserve"> provides challenges in defining and ensuring </w:t>
      </w:r>
      <w:r w:rsidR="00C54C8F">
        <w:t xml:space="preserve">consistent </w:t>
      </w:r>
      <w:r>
        <w:t xml:space="preserve">scope of practice, skill utilisation and patterns of patient care responsibilities </w:t>
      </w:r>
      <w:r>
        <w:rPr>
          <w:noProof/>
        </w:rPr>
        <w:t>(Stanhope &amp; Pearce, 2013)</w:t>
      </w:r>
      <w:r>
        <w:t>. Multiple studies have concluded that AHA roles need further clarity</w:t>
      </w:r>
      <w:r w:rsidR="00F35CBE">
        <w:t xml:space="preserve"> </w:t>
      </w:r>
      <w:r>
        <w:t xml:space="preserve">in order to promote better </w:t>
      </w:r>
      <w:r w:rsidRPr="005D7E8D">
        <w:t xml:space="preserve">utilisation </w:t>
      </w:r>
      <w:r>
        <w:rPr>
          <w:noProof/>
        </w:rPr>
        <w:t>(</w:t>
      </w:r>
      <w:r w:rsidR="000572E8">
        <w:rPr>
          <w:noProof/>
        </w:rPr>
        <w:t xml:space="preserve">Lizarondo et al., 2010; </w:t>
      </w:r>
      <w:r w:rsidR="001F629A">
        <w:rPr>
          <w:noProof/>
        </w:rPr>
        <w:t xml:space="preserve">O’Brien et al., 2013; Pearce &amp; Pagett, 2015; </w:t>
      </w:r>
      <w:r>
        <w:rPr>
          <w:noProof/>
        </w:rPr>
        <w:t>Stute</w:t>
      </w:r>
      <w:r w:rsidR="00C666F4">
        <w:rPr>
          <w:noProof/>
        </w:rPr>
        <w:t xml:space="preserve"> et al., </w:t>
      </w:r>
      <w:r w:rsidR="001F629A">
        <w:rPr>
          <w:noProof/>
        </w:rPr>
        <w:t>2014</w:t>
      </w:r>
      <w:r>
        <w:rPr>
          <w:noProof/>
        </w:rPr>
        <w:t>)</w:t>
      </w:r>
      <w:r w:rsidRPr="005D7E8D">
        <w:t>.</w:t>
      </w:r>
      <w:r w:rsidR="00F44BA9">
        <w:t xml:space="preserve"> Limited role clarity has also contributed to the inefficient use of AHA roles in new models of care projects (Nancarrow et al, 2013). </w:t>
      </w:r>
      <w:r w:rsidR="005F55A4">
        <w:t>A</w:t>
      </w:r>
      <w:r>
        <w:t xml:space="preserve"> recent Victorian </w:t>
      </w:r>
      <w:r w:rsidR="005F55A4">
        <w:t xml:space="preserve">workforce redesign </w:t>
      </w:r>
      <w:r>
        <w:t>study</w:t>
      </w:r>
      <w:r w:rsidR="005F55A4">
        <w:t xml:space="preserve"> identified that almost 24% of the work completed by AHPs could be delegated to </w:t>
      </w:r>
      <w:r>
        <w:t xml:space="preserve">an AHA </w:t>
      </w:r>
      <w:r w:rsidR="00280917">
        <w:t>in community and ambulatory settings</w:t>
      </w:r>
      <w:r w:rsidR="00280917">
        <w:rPr>
          <w:noProof/>
        </w:rPr>
        <w:t xml:space="preserve"> </w:t>
      </w:r>
      <w:r>
        <w:rPr>
          <w:noProof/>
        </w:rPr>
        <w:t>(Somerville et al., 201</w:t>
      </w:r>
      <w:r w:rsidR="005F55A4">
        <w:rPr>
          <w:noProof/>
        </w:rPr>
        <w:t>7</w:t>
      </w:r>
      <w:r>
        <w:rPr>
          <w:noProof/>
        </w:rPr>
        <w:t>)</w:t>
      </w:r>
      <w:r>
        <w:t xml:space="preserve">. </w:t>
      </w:r>
      <w:r w:rsidR="00280917">
        <w:t xml:space="preserve">This was reported across 12 of the 14 participating allied health professions, with the greatest opportunities being identified for podiatry, prosthetics/orthotics, speech pathology, nutrition and dietetics and social work professionals. The provision of clinical treatment and administrative tasks were identified as the </w:t>
      </w:r>
      <w:r w:rsidR="00C54C8F">
        <w:t xml:space="preserve">tasks </w:t>
      </w:r>
      <w:r w:rsidR="00280917">
        <w:t xml:space="preserve">most commonly performed  by AHAs in community and ambulatory settings.   </w:t>
      </w:r>
      <w:r>
        <w:t xml:space="preserve">Delegation is also a documented challenge for AHPs, </w:t>
      </w:r>
      <w:r>
        <w:lastRenderedPageBreak/>
        <w:t>as it depends on the professional’s confidence in the clinical skills of AHAs and their own ability to delegate tasks</w:t>
      </w:r>
      <w:r w:rsidR="00C666F4">
        <w:t xml:space="preserve"> (Stute et al., 2014).</w:t>
      </w:r>
      <w:r>
        <w:t xml:space="preserve"> </w:t>
      </w:r>
    </w:p>
    <w:p w14:paraId="7CA18983" w14:textId="77777777" w:rsidR="0000551E" w:rsidRDefault="0000551E" w:rsidP="00646504">
      <w:pPr>
        <w:spacing w:line="480" w:lineRule="auto"/>
      </w:pPr>
    </w:p>
    <w:p w14:paraId="033F8CE9" w14:textId="03430691" w:rsidR="008560BC" w:rsidRDefault="0000551E" w:rsidP="00646504">
      <w:pPr>
        <w:spacing w:line="480" w:lineRule="auto"/>
      </w:pPr>
      <w:r>
        <w:t>It is unclear whether the current educational training and qualifications for AHAs are sufficient to clarify roles</w:t>
      </w:r>
      <w:r w:rsidR="008F11F4">
        <w:t xml:space="preserve"> and </w:t>
      </w:r>
      <w:r>
        <w:t xml:space="preserve">maximise their </w:t>
      </w:r>
      <w:r w:rsidR="008F11F4">
        <w:t xml:space="preserve">consistent </w:t>
      </w:r>
      <w:r>
        <w:t xml:space="preserve">contribution to the workplace. </w:t>
      </w:r>
      <w:r w:rsidR="008F11F4">
        <w:t>For many health professions, t</w:t>
      </w:r>
      <w:r>
        <w:t xml:space="preserve">here has been a pattern, of university level qualifications </w:t>
      </w:r>
      <w:r w:rsidR="008F11F4">
        <w:t xml:space="preserve">serving as a pre-requisite to </w:t>
      </w:r>
      <w:r>
        <w:t xml:space="preserve">defining a health professional’s scope of practice, which is then reinforced through strict workplace entry requirements </w:t>
      </w:r>
      <w:r>
        <w:rPr>
          <w:noProof/>
        </w:rPr>
        <w:t>(Nancarrow &amp; Borthwick, 2005)</w:t>
      </w:r>
      <w:r>
        <w:t xml:space="preserve">.  </w:t>
      </w:r>
      <w:r w:rsidR="00DE2AC2">
        <w:t xml:space="preserve">For traditional Australian AHPs, undergraduate degree education has largely guaranteed their employment in Australia (Turnbull et al, 2009). </w:t>
      </w:r>
      <w:r w:rsidR="008F11F4">
        <w:t xml:space="preserve">This pattern </w:t>
      </w:r>
      <w:r w:rsidR="00C54C8F">
        <w:t xml:space="preserve">of university level qualifications defining practice requirements </w:t>
      </w:r>
      <w:r w:rsidR="008F11F4">
        <w:t>does not currently exist for AHAs</w:t>
      </w:r>
      <w:r w:rsidR="007F6005">
        <w:t>. Currently</w:t>
      </w:r>
      <w:r w:rsidR="004F7A39">
        <w:t xml:space="preserve"> </w:t>
      </w:r>
      <w:r w:rsidR="007F6005">
        <w:t>i</w:t>
      </w:r>
      <w:r w:rsidR="008F11F4">
        <w:t>n Australia, the Certificates III and IV in Allied Health Assistance are reported as the preferred formal qualification for AHAs</w:t>
      </w:r>
      <w:r w:rsidR="00B50BD4">
        <w:t xml:space="preserve"> (Stute et al, 2014)</w:t>
      </w:r>
      <w:r w:rsidR="008F11F4">
        <w:t xml:space="preserve">. However, </w:t>
      </w:r>
      <w:r w:rsidR="007F6005">
        <w:t xml:space="preserve">they are not always required for entry into the workplace, and </w:t>
      </w:r>
      <w:r w:rsidR="008F11F4">
        <w:t xml:space="preserve">this </w:t>
      </w:r>
      <w:r w:rsidR="007F6005">
        <w:t xml:space="preserve">formal education </w:t>
      </w:r>
      <w:r w:rsidR="008F11F4">
        <w:t>is often supplemented by significant informal training</w:t>
      </w:r>
      <w:r w:rsidR="008F11F4">
        <w:t xml:space="preserve"> in the </w:t>
      </w:r>
      <w:r w:rsidR="008F11F4">
        <w:t xml:space="preserve">workplace. </w:t>
      </w:r>
      <w:r>
        <w:t xml:space="preserve">It is therefore unclear whether </w:t>
      </w:r>
      <w:r w:rsidR="008F11F4">
        <w:t xml:space="preserve">any further refinement of </w:t>
      </w:r>
      <w:r>
        <w:t xml:space="preserve">education </w:t>
      </w:r>
      <w:r w:rsidR="008F11F4">
        <w:t xml:space="preserve">standards for AHAs </w:t>
      </w:r>
      <w:r>
        <w:t xml:space="preserve">can shape </w:t>
      </w:r>
      <w:r w:rsidR="008F11F4">
        <w:t xml:space="preserve">consistent </w:t>
      </w:r>
      <w:r>
        <w:t>role</w:t>
      </w:r>
      <w:r w:rsidR="008F11F4">
        <w:t>s</w:t>
      </w:r>
      <w:r>
        <w:t xml:space="preserve"> and workforce opportunities for the AHA workforce. </w:t>
      </w:r>
    </w:p>
    <w:p w14:paraId="1F056C9A" w14:textId="77777777" w:rsidR="0000551E" w:rsidRDefault="0000551E" w:rsidP="00646504">
      <w:pPr>
        <w:spacing w:line="480" w:lineRule="auto"/>
      </w:pPr>
    </w:p>
    <w:p w14:paraId="2E241D1F" w14:textId="7C39B899" w:rsidR="0000551E" w:rsidRDefault="0000551E" w:rsidP="00646504">
      <w:pPr>
        <w:spacing w:line="480" w:lineRule="auto"/>
      </w:pPr>
      <w:r w:rsidRPr="00D80FBF">
        <w:t xml:space="preserve">Australia needs an efficient and coordinated interdisciplinary health care workforce to deliver evidence-based care in participative models with patients and their families, in suitable locations. There </w:t>
      </w:r>
      <w:r>
        <w:t xml:space="preserve">is </w:t>
      </w:r>
      <w:r w:rsidRPr="00D80FBF">
        <w:t xml:space="preserve">a need to match </w:t>
      </w:r>
      <w:r>
        <w:t xml:space="preserve">healthcare </w:t>
      </w:r>
      <w:r w:rsidRPr="00D80FBF">
        <w:t>workers w</w:t>
      </w:r>
      <w:r>
        <w:t>ith a</w:t>
      </w:r>
      <w:r w:rsidRPr="00D80FBF">
        <w:t>ppropriate tasks based on their skills and experience. Systems will be required to ensure all staff</w:t>
      </w:r>
      <w:r w:rsidR="00CA6EE3">
        <w:t xml:space="preserve">, including </w:t>
      </w:r>
      <w:r w:rsidR="008560BC">
        <w:t xml:space="preserve">AHAs </w:t>
      </w:r>
      <w:r w:rsidR="008560BC" w:rsidRPr="00D80FBF">
        <w:t>have</w:t>
      </w:r>
      <w:r w:rsidRPr="00D80FBF">
        <w:t xml:space="preserve"> appropriate skills</w:t>
      </w:r>
      <w:r w:rsidR="007F6005">
        <w:t xml:space="preserve">. Further, </w:t>
      </w:r>
      <w:r w:rsidRPr="00D80FBF">
        <w:t xml:space="preserve">appropriate mechanisms </w:t>
      </w:r>
      <w:r>
        <w:t xml:space="preserve">are needed </w:t>
      </w:r>
      <w:r w:rsidRPr="00D80FBF">
        <w:t>to delegate and coordinate care between healthcare workers.</w:t>
      </w:r>
      <w:r>
        <w:t xml:space="preserve"> </w:t>
      </w:r>
      <w:r w:rsidR="007F6005">
        <w:t xml:space="preserve">One of the first steps could be </w:t>
      </w:r>
      <w:r>
        <w:t xml:space="preserve">to investigate whether </w:t>
      </w:r>
      <w:r w:rsidRPr="005D7E8D">
        <w:t xml:space="preserve">the </w:t>
      </w:r>
      <w:r>
        <w:lastRenderedPageBreak/>
        <w:t xml:space="preserve">education and </w:t>
      </w:r>
      <w:r w:rsidRPr="005D7E8D">
        <w:t xml:space="preserve">training of </w:t>
      </w:r>
      <w:r>
        <w:t xml:space="preserve">AHAs </w:t>
      </w:r>
      <w:r w:rsidRPr="005D7E8D">
        <w:t xml:space="preserve">is sufficient to meet </w:t>
      </w:r>
      <w:r>
        <w:t xml:space="preserve">and maintain </w:t>
      </w:r>
      <w:r w:rsidRPr="005D7E8D">
        <w:t xml:space="preserve">the workforce requirements of their role </w:t>
      </w:r>
      <w:r>
        <w:rPr>
          <w:noProof/>
        </w:rPr>
        <w:t>(Wallace, 2016)</w:t>
      </w:r>
      <w:r w:rsidRPr="005D7E8D">
        <w:t xml:space="preserve">. </w:t>
      </w:r>
    </w:p>
    <w:p w14:paraId="3A7E0B8C" w14:textId="77777777" w:rsidR="0000551E" w:rsidRDefault="0000551E" w:rsidP="00646504">
      <w:pPr>
        <w:spacing w:line="480" w:lineRule="auto"/>
      </w:pPr>
    </w:p>
    <w:p w14:paraId="108DD92C" w14:textId="77777777" w:rsidR="0000551E" w:rsidRPr="007E5FE3" w:rsidRDefault="0000551E" w:rsidP="00646504">
      <w:pPr>
        <w:pStyle w:val="Heading1"/>
        <w:spacing w:line="480" w:lineRule="auto"/>
      </w:pPr>
      <w:r w:rsidRPr="007E5FE3">
        <w:t>Aim</w:t>
      </w:r>
    </w:p>
    <w:p w14:paraId="2CD12243" w14:textId="7A557C5B" w:rsidR="0000551E" w:rsidRDefault="0000551E" w:rsidP="00646504">
      <w:pPr>
        <w:keepNext/>
        <w:spacing w:line="480" w:lineRule="auto"/>
      </w:pPr>
      <w:r>
        <w:t xml:space="preserve">This qualitative exploratory study was designed to investigate the perspectives of senior allied health clinicians and academics about the educational needs and workplace opportunities for AHAs. We were interested in whether university education for AHAs could help to </w:t>
      </w:r>
      <w:r w:rsidR="00FD0209">
        <w:t xml:space="preserve">shape consistent roles and expectations of </w:t>
      </w:r>
      <w:r>
        <w:t xml:space="preserve">AHAs </w:t>
      </w:r>
      <w:r w:rsidR="00FD0209">
        <w:t xml:space="preserve">for the </w:t>
      </w:r>
      <w:r w:rsidR="00BF57D4">
        <w:t>future workforce</w:t>
      </w:r>
      <w:r>
        <w:t xml:space="preserve">. </w:t>
      </w:r>
    </w:p>
    <w:p w14:paraId="6E1C1D6F" w14:textId="77777777" w:rsidR="0000551E" w:rsidRDefault="0000551E" w:rsidP="00646504">
      <w:pPr>
        <w:keepNext/>
        <w:spacing w:line="480" w:lineRule="auto"/>
      </w:pPr>
    </w:p>
    <w:p w14:paraId="47A214E6" w14:textId="77777777" w:rsidR="0000551E" w:rsidRDefault="0000551E" w:rsidP="00646504">
      <w:pPr>
        <w:pStyle w:val="Heading1"/>
        <w:spacing w:line="480" w:lineRule="auto"/>
      </w:pPr>
      <w:r>
        <w:t>Methods and analysis</w:t>
      </w:r>
    </w:p>
    <w:p w14:paraId="2CDE59E5" w14:textId="5E211CF6" w:rsidR="009D1177" w:rsidRDefault="0000551E" w:rsidP="00646504">
      <w:pPr>
        <w:keepNext/>
        <w:spacing w:line="480" w:lineRule="auto"/>
      </w:pPr>
      <w:r w:rsidRPr="0012141C">
        <w:t xml:space="preserve">This </w:t>
      </w:r>
      <w:r w:rsidR="00A2015F">
        <w:t xml:space="preserve">small explorative qualitative </w:t>
      </w:r>
      <w:r>
        <w:t xml:space="preserve">study was </w:t>
      </w:r>
      <w:r w:rsidRPr="0012141C">
        <w:t xml:space="preserve">undertaken within Queensland, </w:t>
      </w:r>
      <w:r>
        <w:t xml:space="preserve">across </w:t>
      </w:r>
      <w:r w:rsidRPr="0012141C">
        <w:t xml:space="preserve">two settings: </w:t>
      </w:r>
      <w:r>
        <w:t xml:space="preserve">Griffith University and Queensland Health.  Each setting represents a </w:t>
      </w:r>
      <w:r w:rsidR="00A2015F">
        <w:t xml:space="preserve">large </w:t>
      </w:r>
      <w:r>
        <w:t xml:space="preserve">key stakeholder group; </w:t>
      </w:r>
      <w:r w:rsidR="00FD0209">
        <w:t xml:space="preserve">academic and teaching staff from allied health programmes and </w:t>
      </w:r>
      <w:r>
        <w:t>senior AHP clinicians, managers and policy makers</w:t>
      </w:r>
      <w:r w:rsidR="008560BC">
        <w:t xml:space="preserve">. </w:t>
      </w:r>
      <w:r w:rsidRPr="0012141C">
        <w:t>A convenience sampling strategy w</w:t>
      </w:r>
      <w:r>
        <w:t>as</w:t>
      </w:r>
      <w:r w:rsidRPr="0012141C">
        <w:t xml:space="preserve"> used</w:t>
      </w:r>
      <w:r>
        <w:t xml:space="preserve"> to </w:t>
      </w:r>
      <w:r w:rsidR="00CA6EE3">
        <w:t xml:space="preserve">obtain a sample of </w:t>
      </w:r>
      <w:r w:rsidR="00A2015F">
        <w:t xml:space="preserve">senior academic, clinical managerial and policy staff </w:t>
      </w:r>
      <w:r w:rsidR="009D1177">
        <w:t>who had strategic and experiential expertise</w:t>
      </w:r>
      <w:r w:rsidR="00ED3008">
        <w:t xml:space="preserve"> in teaching, supervising and advocating for </w:t>
      </w:r>
      <w:r w:rsidR="00BF57D4">
        <w:t>AHAs to</w:t>
      </w:r>
      <w:r w:rsidR="00EA67BA">
        <w:t xml:space="preserve"> participate in </w:t>
      </w:r>
      <w:r w:rsidR="00CA6EE3">
        <w:t xml:space="preserve">an </w:t>
      </w:r>
      <w:r>
        <w:t>individual interview</w:t>
      </w:r>
      <w:r w:rsidR="00CA6EE3">
        <w:t xml:space="preserve"> about the </w:t>
      </w:r>
      <w:r w:rsidR="00CA6EE3" w:rsidRPr="0012141C">
        <w:t xml:space="preserve">educational and training needs of </w:t>
      </w:r>
      <w:r w:rsidR="00CA6EE3">
        <w:t>AHAs</w:t>
      </w:r>
      <w:r w:rsidR="00A2015F">
        <w:t xml:space="preserve">. </w:t>
      </w:r>
      <w:r w:rsidR="00EE31FC">
        <w:t>S</w:t>
      </w:r>
      <w:r w:rsidR="00EA67BA">
        <w:t>enior a</w:t>
      </w:r>
      <w:r w:rsidR="00A2015F">
        <w:t>cademic staff</w:t>
      </w:r>
      <w:r w:rsidR="00EE31FC">
        <w:t xml:space="preserve"> who</w:t>
      </w:r>
      <w:r w:rsidR="00A2015F">
        <w:t xml:space="preserve"> had administrative responsibility for teaching and learning </w:t>
      </w:r>
      <w:r w:rsidR="00EE31FC">
        <w:t xml:space="preserve">across all </w:t>
      </w:r>
      <w:r w:rsidR="00A2015F">
        <w:t>allied health</w:t>
      </w:r>
      <w:r w:rsidR="009D1177">
        <w:t xml:space="preserve">, medical and nursing </w:t>
      </w:r>
      <w:r w:rsidR="00A2015F">
        <w:t>disciplines</w:t>
      </w:r>
      <w:r w:rsidR="00EE31FC">
        <w:t xml:space="preserve"> were invited to participate</w:t>
      </w:r>
      <w:r w:rsidR="00A2015F">
        <w:t xml:space="preserve">. Professional </w:t>
      </w:r>
      <w:r w:rsidR="007F3735">
        <w:t>d</w:t>
      </w:r>
      <w:r w:rsidR="00A2015F">
        <w:t>irectors</w:t>
      </w:r>
      <w:r w:rsidR="00EE31FC">
        <w:t xml:space="preserve">, policy </w:t>
      </w:r>
      <w:r w:rsidR="00EE31FC">
        <w:lastRenderedPageBreak/>
        <w:t>leaders</w:t>
      </w:r>
      <w:r w:rsidR="00A2015F">
        <w:t xml:space="preserve"> and workforce development officers </w:t>
      </w:r>
      <w:r w:rsidR="00EE31FC">
        <w:t xml:space="preserve">who </w:t>
      </w:r>
      <w:r w:rsidR="00A2015F">
        <w:t>had managerial and support functions for AHA staff were invited from all allied health professions in the one health service.</w:t>
      </w:r>
      <w:r w:rsidR="00EE31FC">
        <w:t xml:space="preserve"> </w:t>
      </w:r>
    </w:p>
    <w:p w14:paraId="032CD3E6" w14:textId="77777777" w:rsidR="00EE31FC" w:rsidRDefault="00EE31FC" w:rsidP="00646504">
      <w:pPr>
        <w:keepNext/>
        <w:spacing w:line="480" w:lineRule="auto"/>
      </w:pPr>
    </w:p>
    <w:p w14:paraId="35158CB1" w14:textId="1BC2FDB1" w:rsidR="0000551E" w:rsidRDefault="009D1177" w:rsidP="00646504">
      <w:pPr>
        <w:keepNext/>
        <w:spacing w:line="480" w:lineRule="auto"/>
      </w:pPr>
      <w:r>
        <w:t>Participants</w:t>
      </w:r>
      <w:r w:rsidR="0000551E">
        <w:t xml:space="preserve"> </w:t>
      </w:r>
      <w:r w:rsidR="0000551E" w:rsidRPr="0012141C">
        <w:t>w</w:t>
      </w:r>
      <w:r w:rsidR="0000551E">
        <w:t xml:space="preserve">ere </w:t>
      </w:r>
      <w:r w:rsidR="0000551E" w:rsidRPr="0012141C">
        <w:t>contacted by the researchers to arrange a suitable time and location for the interview. Interviews w</w:t>
      </w:r>
      <w:r w:rsidR="0000551E">
        <w:t xml:space="preserve">ere </w:t>
      </w:r>
      <w:r w:rsidR="0000551E" w:rsidRPr="0012141C">
        <w:t>conducted face-to-face with both the Principal Investigator (PI) and Co-Investigator (Co-I) present. Interviews w</w:t>
      </w:r>
      <w:r w:rsidR="0000551E">
        <w:t>ere</w:t>
      </w:r>
      <w:r w:rsidR="0000551E" w:rsidRPr="0012141C">
        <w:t xml:space="preserve"> audio-recorded and notes taken during the interview. </w:t>
      </w:r>
      <w:r w:rsidR="0000551E">
        <w:t xml:space="preserve">An interview template with a </w:t>
      </w:r>
      <w:r w:rsidR="0000551E" w:rsidRPr="0012141C">
        <w:t>small set of open-ended questions w</w:t>
      </w:r>
      <w:r w:rsidR="0000551E">
        <w:t xml:space="preserve">as sent to participants before the scheduled interview. </w:t>
      </w:r>
      <w:r w:rsidR="00ED3008">
        <w:t>Questions were grouped around</w:t>
      </w:r>
      <w:r w:rsidR="00161545">
        <w:t xml:space="preserve"> four</w:t>
      </w:r>
      <w:r w:rsidR="00ED3008">
        <w:t xml:space="preserve"> discussion areas; </w:t>
      </w:r>
      <w:r w:rsidR="00161545">
        <w:t xml:space="preserve">AHA role clarity, current support and supervision requirements, critique of current formal and informal education and outstanding educational needs. </w:t>
      </w:r>
      <w:r w:rsidR="0000551E">
        <w:t xml:space="preserve">The interviews were </w:t>
      </w:r>
      <w:r w:rsidR="00142030">
        <w:t>semi-structured</w:t>
      </w:r>
      <w:r w:rsidR="0000551E" w:rsidRPr="0012141C">
        <w:t xml:space="preserve"> </w:t>
      </w:r>
      <w:r w:rsidR="0000551E">
        <w:t>to allow for conversation and discussion around additional topics that participants considered important</w:t>
      </w:r>
      <w:r w:rsidR="00985AEB">
        <w:t xml:space="preserve"> (</w:t>
      </w:r>
      <w:r w:rsidR="00985AEB" w:rsidRPr="00AE13C4">
        <w:rPr>
          <w:rFonts w:ascii="Times New Roman" w:hAnsi="Times New Roman" w:cs="Times New Roman"/>
          <w:color w:val="222222"/>
          <w:shd w:val="clear" w:color="auto" w:fill="FFFFFF"/>
        </w:rPr>
        <w:t>Fylan</w:t>
      </w:r>
      <w:r w:rsidR="00985AEB">
        <w:rPr>
          <w:rFonts w:ascii="Times New Roman" w:hAnsi="Times New Roman" w:cs="Times New Roman"/>
          <w:color w:val="222222"/>
          <w:shd w:val="clear" w:color="auto" w:fill="FFFFFF"/>
        </w:rPr>
        <w:t xml:space="preserve"> </w:t>
      </w:r>
      <w:r w:rsidR="00985AEB" w:rsidRPr="00AE13C4">
        <w:rPr>
          <w:rFonts w:ascii="Times New Roman" w:hAnsi="Times New Roman" w:cs="Times New Roman"/>
          <w:color w:val="222222"/>
          <w:shd w:val="clear" w:color="auto" w:fill="FFFFFF"/>
        </w:rPr>
        <w:t>2005)</w:t>
      </w:r>
      <w:r w:rsidR="0000551E">
        <w:t xml:space="preserve">. </w:t>
      </w:r>
      <w:r w:rsidR="0000551E" w:rsidRPr="0012141C">
        <w:t xml:space="preserve"> </w:t>
      </w:r>
      <w:r w:rsidR="0000551E">
        <w:t xml:space="preserve">All interviews were recorded and independently transcribed and participants were invited to review and edit their transcripts. Data </w:t>
      </w:r>
      <w:r w:rsidR="006D3FEB">
        <w:t xml:space="preserve">were </w:t>
      </w:r>
      <w:r w:rsidR="0000551E">
        <w:t xml:space="preserve">coded and categorised </w:t>
      </w:r>
      <w:r w:rsidR="007F6005">
        <w:t xml:space="preserve">separately </w:t>
      </w:r>
      <w:r w:rsidR="00BF57D4">
        <w:t>for the</w:t>
      </w:r>
      <w:r w:rsidR="007F6005">
        <w:t xml:space="preserve"> two</w:t>
      </w:r>
      <w:r w:rsidR="0000551E">
        <w:t xml:space="preserve"> stakeholder groups</w:t>
      </w:r>
      <w:r w:rsidR="007F6005">
        <w:t>:</w:t>
      </w:r>
      <w:r w:rsidR="0000551E">
        <w:t xml:space="preserve"> clinicians and academics</w:t>
      </w:r>
      <w:r w:rsidR="007F6005">
        <w:t xml:space="preserve">. Then, comparisons were made between both groups </w:t>
      </w:r>
      <w:r w:rsidR="00BA5EEA">
        <w:t>to achieve an integrated perspective</w:t>
      </w:r>
      <w:r w:rsidR="0000551E">
        <w:t xml:space="preserve">. Thematic analysis was conducted in three stages </w:t>
      </w:r>
      <w:r w:rsidR="0000551E">
        <w:rPr>
          <w:noProof/>
        </w:rPr>
        <w:t>(Castro, Kellison, Boyd, &amp; Kopak, 2010)</w:t>
      </w:r>
      <w:r w:rsidR="0000551E">
        <w:t xml:space="preserve">. </w:t>
      </w:r>
      <w:r w:rsidR="0000551E">
        <w:rPr>
          <w:noProof/>
        </w:rPr>
        <w:t xml:space="preserve">First level coding involved </w:t>
      </w:r>
      <w:r w:rsidR="00BA5EEA">
        <w:rPr>
          <w:noProof/>
        </w:rPr>
        <w:t xml:space="preserve">categorising descriptive </w:t>
      </w:r>
      <w:r w:rsidR="0000551E">
        <w:rPr>
          <w:noProof/>
        </w:rPr>
        <w:t xml:space="preserve">verbal responses to the </w:t>
      </w:r>
      <w:r w:rsidR="00BA5EEA">
        <w:rPr>
          <w:noProof/>
        </w:rPr>
        <w:t xml:space="preserve">same </w:t>
      </w:r>
      <w:r w:rsidR="0000551E">
        <w:rPr>
          <w:noProof/>
        </w:rPr>
        <w:t xml:space="preserve">questions </w:t>
      </w:r>
      <w:r w:rsidR="00BA5EEA">
        <w:rPr>
          <w:noProof/>
        </w:rPr>
        <w:t>across all participants</w:t>
      </w:r>
      <w:r w:rsidR="0000551E">
        <w:rPr>
          <w:noProof/>
        </w:rPr>
        <w:t>. Second-level coding group</w:t>
      </w:r>
      <w:r w:rsidR="00BA5EEA">
        <w:rPr>
          <w:noProof/>
        </w:rPr>
        <w:t xml:space="preserve">ed similar </w:t>
      </w:r>
      <w:r w:rsidR="0000551E">
        <w:rPr>
          <w:noProof/>
        </w:rPr>
        <w:t xml:space="preserve"> response</w:t>
      </w:r>
      <w:r w:rsidR="00BA5EEA">
        <w:rPr>
          <w:noProof/>
        </w:rPr>
        <w:t>s within the four discus</w:t>
      </w:r>
      <w:r w:rsidR="00601E88">
        <w:rPr>
          <w:noProof/>
        </w:rPr>
        <w:t>s</w:t>
      </w:r>
      <w:r w:rsidR="00BA5EEA">
        <w:rPr>
          <w:noProof/>
        </w:rPr>
        <w:t xml:space="preserve">ion areas. </w:t>
      </w:r>
      <w:r w:rsidR="0000551E">
        <w:rPr>
          <w:noProof/>
        </w:rPr>
        <w:t>Finally, overarching themes</w:t>
      </w:r>
      <w:r w:rsidR="00BA5EEA" w:rsidRPr="00BA5EEA">
        <w:rPr>
          <w:noProof/>
        </w:rPr>
        <w:t xml:space="preserve"> </w:t>
      </w:r>
      <w:r w:rsidR="00BA5EEA">
        <w:rPr>
          <w:noProof/>
        </w:rPr>
        <w:t>emerged</w:t>
      </w:r>
      <w:r w:rsidR="0000551E">
        <w:rPr>
          <w:noProof/>
        </w:rPr>
        <w:t xml:space="preserve">.  </w:t>
      </w:r>
      <w:r w:rsidR="00BA5EEA">
        <w:rPr>
          <w:noProof/>
        </w:rPr>
        <w:t>Both researchers verified the first level descriptive responses, second level coding and third level emergent themes</w:t>
      </w:r>
      <w:r w:rsidR="007F6005">
        <w:rPr>
          <w:noProof/>
        </w:rPr>
        <w:t xml:space="preserve"> by consensus</w:t>
      </w:r>
      <w:r w:rsidR="00BA5EEA">
        <w:rPr>
          <w:noProof/>
        </w:rPr>
        <w:t xml:space="preserve"> </w:t>
      </w:r>
      <w:r w:rsidR="0000551E">
        <w:rPr>
          <w:noProof/>
        </w:rPr>
        <w:t>(Eisner, 1998)</w:t>
      </w:r>
      <w:r w:rsidR="0000551E">
        <w:t>.</w:t>
      </w:r>
    </w:p>
    <w:p w14:paraId="16C329DC" w14:textId="77777777" w:rsidR="0000551E" w:rsidRDefault="0000551E" w:rsidP="00646504">
      <w:pPr>
        <w:keepNext/>
        <w:spacing w:line="480" w:lineRule="auto"/>
      </w:pPr>
    </w:p>
    <w:p w14:paraId="5829A24E" w14:textId="3E55FD44" w:rsidR="0000551E" w:rsidRPr="00024A80" w:rsidRDefault="0000551E" w:rsidP="00646504">
      <w:pPr>
        <w:keepNext/>
        <w:spacing w:line="480" w:lineRule="auto"/>
      </w:pPr>
      <w:r>
        <w:t xml:space="preserve">Ethical approval </w:t>
      </w:r>
      <w:r w:rsidR="0027224B">
        <w:t xml:space="preserve">was </w:t>
      </w:r>
      <w:r>
        <w:t xml:space="preserve">granted by </w:t>
      </w:r>
      <w:r w:rsidRPr="00024A80">
        <w:t>Griffith University</w:t>
      </w:r>
      <w:r>
        <w:t xml:space="preserve">. </w:t>
      </w:r>
      <w:r w:rsidRPr="00024A80">
        <w:t xml:space="preserve"> </w:t>
      </w:r>
      <w:r w:rsidR="00601E88">
        <w:t xml:space="preserve">All participants provided written consent. </w:t>
      </w:r>
    </w:p>
    <w:p w14:paraId="50446BD1" w14:textId="77777777" w:rsidR="0000551E" w:rsidRPr="00E17665" w:rsidRDefault="0000551E" w:rsidP="00646504">
      <w:pPr>
        <w:spacing w:line="480" w:lineRule="auto"/>
      </w:pPr>
    </w:p>
    <w:p w14:paraId="6BE916D3" w14:textId="77777777" w:rsidR="0000551E" w:rsidRPr="007E5FE3" w:rsidRDefault="0000551E" w:rsidP="00646504">
      <w:pPr>
        <w:pStyle w:val="Heading1"/>
        <w:spacing w:line="480" w:lineRule="auto"/>
      </w:pPr>
      <w:r w:rsidRPr="007E5FE3">
        <w:lastRenderedPageBreak/>
        <w:t xml:space="preserve">Results </w:t>
      </w:r>
    </w:p>
    <w:p w14:paraId="681D9E0D" w14:textId="51DE58F5" w:rsidR="00BA5EEA" w:rsidRDefault="0000551E" w:rsidP="00646504">
      <w:pPr>
        <w:keepNext/>
        <w:spacing w:line="480" w:lineRule="auto"/>
      </w:pPr>
      <w:r>
        <w:t xml:space="preserve">From </w:t>
      </w:r>
      <w:r w:rsidRPr="006E1D11">
        <w:t>twenty</w:t>
      </w:r>
      <w:r w:rsidR="007F6005">
        <w:t>-</w:t>
      </w:r>
      <w:r w:rsidRPr="006E1D11">
        <w:t xml:space="preserve">two academic and clinical staff invited to participate, </w:t>
      </w:r>
      <w:r w:rsidR="00936289">
        <w:t>twelve</w:t>
      </w:r>
      <w:r w:rsidRPr="006E1D11">
        <w:t xml:space="preserve"> were interviewed.</w:t>
      </w:r>
      <w:r w:rsidR="000075C0">
        <w:t xml:space="preserve"> Ten staff either did not respond or were not available for interview.</w:t>
      </w:r>
      <w:r w:rsidRPr="006E1D11">
        <w:t xml:space="preserve"> </w:t>
      </w:r>
      <w:r>
        <w:t xml:space="preserve">Participants </w:t>
      </w:r>
      <w:r w:rsidR="007F6005">
        <w:t xml:space="preserve">equally </w:t>
      </w:r>
      <w:r>
        <w:t>represented academic (6) and clinical (</w:t>
      </w:r>
      <w:r w:rsidR="007F3735">
        <w:t>6</w:t>
      </w:r>
      <w:r>
        <w:t xml:space="preserve">) workplaces. </w:t>
      </w:r>
      <w:r w:rsidR="000075C0">
        <w:t>Participants represented t</w:t>
      </w:r>
      <w:r>
        <w:t xml:space="preserve">he professions </w:t>
      </w:r>
      <w:r w:rsidR="00BF57D4">
        <w:t>of speech</w:t>
      </w:r>
      <w:r>
        <w:t xml:space="preserve"> pathology, dietetics, social work, physiotherapy, pharmacy, occupational therapy, psychology and rehabilitation counselling. Interviews were</w:t>
      </w:r>
      <w:r w:rsidR="00EA67BA">
        <w:t xml:space="preserve"> conducted in person</w:t>
      </w:r>
      <w:r>
        <w:t>, and ranged from 30-60 minutes</w:t>
      </w:r>
      <w:r w:rsidR="00EA67BA">
        <w:t xml:space="preserve"> in length</w:t>
      </w:r>
      <w:r>
        <w:t xml:space="preserve">. </w:t>
      </w:r>
    </w:p>
    <w:p w14:paraId="7BBF8EC7" w14:textId="77777777" w:rsidR="00EE31FC" w:rsidRDefault="00EE31FC" w:rsidP="00646504">
      <w:pPr>
        <w:keepNext/>
        <w:spacing w:line="480" w:lineRule="auto"/>
      </w:pPr>
    </w:p>
    <w:p w14:paraId="53454D3C" w14:textId="20A14B8C" w:rsidR="00626475" w:rsidRPr="00BF57D4" w:rsidRDefault="00601E88" w:rsidP="00BF57D4">
      <w:pPr>
        <w:spacing w:line="480" w:lineRule="auto"/>
      </w:pPr>
      <w:r w:rsidRPr="00BF57D4">
        <w:t>T</w:t>
      </w:r>
      <w:r w:rsidR="0000551E" w:rsidRPr="00BF57D4">
        <w:t>hree themes emerged</w:t>
      </w:r>
      <w:r w:rsidRPr="00BF57D4">
        <w:t xml:space="preserve"> </w:t>
      </w:r>
      <w:r w:rsidR="000075C0" w:rsidRPr="00BF57D4">
        <w:t xml:space="preserve">from both stakeholder groups, in </w:t>
      </w:r>
      <w:r w:rsidR="00BF57D4" w:rsidRPr="00BF57D4">
        <w:t>response to</w:t>
      </w:r>
      <w:r w:rsidRPr="00BF57D4">
        <w:t xml:space="preserve"> the original research question</w:t>
      </w:r>
      <w:r w:rsidR="0000551E" w:rsidRPr="00BF57D4">
        <w:t xml:space="preserve">: </w:t>
      </w:r>
      <w:r w:rsidR="00EA67BA" w:rsidRPr="00BF57D4">
        <w:t xml:space="preserve">(1) Diverse roles, capabilities and expectations of the health </w:t>
      </w:r>
      <w:r w:rsidR="0000551E" w:rsidRPr="00BF57D4">
        <w:t>assistant workforce</w:t>
      </w:r>
      <w:r w:rsidR="00EA67BA" w:rsidRPr="00BF57D4">
        <w:t>; (2)</w:t>
      </w:r>
      <w:r w:rsidR="00626475" w:rsidRPr="00BF57D4">
        <w:t xml:space="preserve"> Inconsistent pre-requisite qualifications and training opportunities for the health assistant workforce; and (3) Limited educational pathways for the health assistant workforce. Each theme is described below and italicised quotes are used to illustrate perspectives of key stakeholders.  </w:t>
      </w:r>
    </w:p>
    <w:p w14:paraId="30D8D103" w14:textId="7805E649" w:rsidR="0000551E" w:rsidRPr="006E1D11" w:rsidRDefault="00601E88" w:rsidP="00646504">
      <w:pPr>
        <w:keepNext/>
        <w:spacing w:line="480" w:lineRule="auto"/>
      </w:pPr>
      <w:r>
        <w:t xml:space="preserve"> </w:t>
      </w:r>
    </w:p>
    <w:p w14:paraId="44D6059F" w14:textId="1357A953" w:rsidR="0000551E" w:rsidRPr="00BF57D4" w:rsidRDefault="00626475" w:rsidP="00BF57D4">
      <w:pPr>
        <w:pStyle w:val="Heading3"/>
      </w:pPr>
      <w:r w:rsidRPr="00BF57D4">
        <w:t xml:space="preserve">1. </w:t>
      </w:r>
      <w:r w:rsidR="00FE4377" w:rsidRPr="00BF57D4">
        <w:t>Diverse roles, capabilities and expectations of</w:t>
      </w:r>
      <w:r w:rsidR="0000551E" w:rsidRPr="00BF57D4">
        <w:t xml:space="preserve"> </w:t>
      </w:r>
      <w:r w:rsidR="00BF6287" w:rsidRPr="00BF57D4">
        <w:t xml:space="preserve">the health </w:t>
      </w:r>
      <w:r w:rsidR="0000551E" w:rsidRPr="00BF57D4">
        <w:t xml:space="preserve">assistant workforce </w:t>
      </w:r>
    </w:p>
    <w:p w14:paraId="2EBEF181" w14:textId="103432A1" w:rsidR="00C71D70" w:rsidRDefault="0000551E" w:rsidP="00646504">
      <w:pPr>
        <w:pStyle w:val="NoSpacing"/>
        <w:spacing w:before="120" w:after="120" w:line="480" w:lineRule="auto"/>
        <w:rPr>
          <w:i/>
        </w:rPr>
      </w:pPr>
      <w:r>
        <w:t xml:space="preserve">All participants described and reinforced a broad range of roles and workplace expectations.  Overall, clinician participants </w:t>
      </w:r>
      <w:r w:rsidR="00936289">
        <w:t>reported</w:t>
      </w:r>
      <w:r>
        <w:t xml:space="preserve"> that health assistants </w:t>
      </w:r>
      <w:r w:rsidR="00936289">
        <w:t>wer</w:t>
      </w:r>
      <w:r>
        <w:t>e poorly paid, and generally perform</w:t>
      </w:r>
      <w:r w:rsidR="00936289">
        <w:t>ed</w:t>
      </w:r>
      <w:r>
        <w:t xml:space="preserve"> basic, routine tasks to free up health professionals to perform more complex tasks. </w:t>
      </w:r>
      <w:r w:rsidR="00936289">
        <w:t xml:space="preserve">Participants described </w:t>
      </w:r>
      <w:r>
        <w:t>variation</w:t>
      </w:r>
      <w:r w:rsidR="00936289">
        <w:t xml:space="preserve">s </w:t>
      </w:r>
      <w:r w:rsidR="000075C0">
        <w:t xml:space="preserve">between </w:t>
      </w:r>
      <w:r w:rsidR="00936289">
        <w:t>AHA</w:t>
      </w:r>
      <w:r w:rsidR="00496BF4">
        <w:t xml:space="preserve"> </w:t>
      </w:r>
      <w:r>
        <w:t>role</w:t>
      </w:r>
      <w:r w:rsidR="00936289">
        <w:t>s</w:t>
      </w:r>
      <w:r>
        <w:t xml:space="preserve"> and </w:t>
      </w:r>
      <w:r w:rsidR="00936289">
        <w:t xml:space="preserve">their </w:t>
      </w:r>
      <w:r>
        <w:t xml:space="preserve">perceived contribution </w:t>
      </w:r>
      <w:r w:rsidR="007F3735">
        <w:t>to</w:t>
      </w:r>
      <w:r>
        <w:t xml:space="preserve"> the professional workforce. </w:t>
      </w:r>
      <w:r w:rsidR="005A7BEC">
        <w:t>Examples of this variation included the report of s</w:t>
      </w:r>
      <w:r>
        <w:t>ome professionals w</w:t>
      </w:r>
      <w:r w:rsidR="005A7BEC">
        <w:t xml:space="preserve">ho </w:t>
      </w:r>
      <w:r w:rsidR="007F0F09">
        <w:t>described “</w:t>
      </w:r>
      <w:r w:rsidR="000075C0">
        <w:t xml:space="preserve">we </w:t>
      </w:r>
      <w:r w:rsidRPr="00960814">
        <w:rPr>
          <w:i/>
        </w:rPr>
        <w:t>just let them do admin or manage the equipment</w:t>
      </w:r>
      <w:r w:rsidR="00936289">
        <w:rPr>
          <w:i/>
        </w:rPr>
        <w:t xml:space="preserve"> (Clinician 1)</w:t>
      </w:r>
      <w:r w:rsidR="00496BF4">
        <w:rPr>
          <w:i/>
        </w:rPr>
        <w:t xml:space="preserve">, </w:t>
      </w:r>
      <w:r w:rsidR="00BF57D4" w:rsidRPr="00BF57D4">
        <w:t>and</w:t>
      </w:r>
      <w:r w:rsidR="00496BF4" w:rsidRPr="00BF57D4">
        <w:t xml:space="preserve"> </w:t>
      </w:r>
      <w:r w:rsidR="007F0F09" w:rsidRPr="00BF57D4">
        <w:t>other</w:t>
      </w:r>
      <w:r w:rsidR="007F0F09">
        <w:t>s who</w:t>
      </w:r>
      <w:r w:rsidR="00BF57D4">
        <w:t xml:space="preserve"> </w:t>
      </w:r>
      <w:r w:rsidR="005A7BEC">
        <w:t xml:space="preserve">described situations where the AHAs’ skills or capabilities were not being fully utilised: </w:t>
      </w:r>
      <w:r w:rsidR="005A7BEC">
        <w:lastRenderedPageBreak/>
        <w:t>“</w:t>
      </w:r>
      <w:r w:rsidR="005A7BEC" w:rsidRPr="00960814">
        <w:rPr>
          <w:i/>
        </w:rPr>
        <w:t>I don't know that those therapy assistants necessarily get to use all that learning that they acquire</w:t>
      </w:r>
      <w:r w:rsidR="007F0F09">
        <w:rPr>
          <w:i/>
        </w:rPr>
        <w:t>” (</w:t>
      </w:r>
      <w:r w:rsidR="005A7BEC">
        <w:rPr>
          <w:i/>
        </w:rPr>
        <w:t>Clinician 3).</w:t>
      </w:r>
      <w:r w:rsidR="007F3735">
        <w:rPr>
          <w:i/>
        </w:rPr>
        <w:t xml:space="preserve">  </w:t>
      </w:r>
    </w:p>
    <w:p w14:paraId="61A28F02" w14:textId="7825DDFB" w:rsidR="007F3735" w:rsidRDefault="007F3735" w:rsidP="00646504">
      <w:pPr>
        <w:pStyle w:val="NoSpacing"/>
        <w:spacing w:before="120" w:after="120" w:line="480" w:lineRule="auto"/>
        <w:rPr>
          <w:i/>
        </w:rPr>
      </w:pPr>
    </w:p>
    <w:p w14:paraId="34552F4C" w14:textId="3D86F99E" w:rsidR="007F3735" w:rsidRDefault="007F3735" w:rsidP="00646504">
      <w:pPr>
        <w:pStyle w:val="NoSpacing"/>
        <w:spacing w:before="120" w:after="120" w:line="480" w:lineRule="auto"/>
        <w:rPr>
          <w:i/>
        </w:rPr>
      </w:pPr>
      <w:r w:rsidRPr="00BF57D4">
        <w:t>C</w:t>
      </w:r>
      <w:r w:rsidR="005A7BEC" w:rsidRPr="00C666F4">
        <w:t>l</w:t>
      </w:r>
      <w:r w:rsidR="005A7BEC">
        <w:t xml:space="preserve">inician participants raised </w:t>
      </w:r>
      <w:r w:rsidR="005A7BEC" w:rsidRPr="00EF29CE">
        <w:t>concerns about a lack of consistent scope of practice</w:t>
      </w:r>
      <w:r>
        <w:t xml:space="preserve"> for AHAs</w:t>
      </w:r>
      <w:r w:rsidR="005A7BEC" w:rsidRPr="00EF29CE">
        <w:t xml:space="preserve">. </w:t>
      </w:r>
      <w:r>
        <w:t xml:space="preserve">Commonly, they </w:t>
      </w:r>
      <w:r w:rsidR="00496BF4">
        <w:t xml:space="preserve">attributed </w:t>
      </w:r>
      <w:r>
        <w:t xml:space="preserve">this </w:t>
      </w:r>
      <w:r w:rsidR="005A7BEC">
        <w:t>to a lack of role clarity</w:t>
      </w:r>
      <w:r>
        <w:t xml:space="preserve"> </w:t>
      </w:r>
      <w:r w:rsidR="00BF57D4">
        <w:t xml:space="preserve">and </w:t>
      </w:r>
      <w:r w:rsidR="00BF57D4" w:rsidRPr="00BF57D4">
        <w:t>reported</w:t>
      </w:r>
      <w:r w:rsidR="00936289">
        <w:t xml:space="preserve"> </w:t>
      </w:r>
      <w:r w:rsidR="00BF57D4">
        <w:t>that AHA</w:t>
      </w:r>
      <w:r w:rsidR="0000551E">
        <w:t xml:space="preserve"> roles </w:t>
      </w:r>
      <w:r w:rsidR="00936289">
        <w:t xml:space="preserve">were </w:t>
      </w:r>
      <w:r w:rsidR="0000551E">
        <w:t>shaped by the local work</w:t>
      </w:r>
      <w:r w:rsidR="00496BF4">
        <w:t>place</w:t>
      </w:r>
      <w:r w:rsidR="0000551E">
        <w:t>: “s</w:t>
      </w:r>
      <w:r w:rsidR="0000551E" w:rsidRPr="00960814">
        <w:rPr>
          <w:i/>
        </w:rPr>
        <w:t>ome assistants are used to do photocopying and admin work and tasks that administration officers perhaps should be doing</w:t>
      </w:r>
      <w:r>
        <w:rPr>
          <w:i/>
        </w:rPr>
        <w:t>” (</w:t>
      </w:r>
      <w:r w:rsidR="005A7BEC">
        <w:rPr>
          <w:i/>
        </w:rPr>
        <w:t>Clinician 5)</w:t>
      </w:r>
      <w:r w:rsidR="0000551E">
        <w:rPr>
          <w:i/>
        </w:rPr>
        <w:t xml:space="preserve">. </w:t>
      </w:r>
      <w:r>
        <w:t>Further, clinician participants reported that it was not always clear to health professionals whether AHAs had the skills and capabilities required for tasks delegated to them.  Some clinician participants described how health assistants were not valued and were treated as “</w:t>
      </w:r>
      <w:r w:rsidRPr="00B008EE">
        <w:rPr>
          <w:i/>
        </w:rPr>
        <w:t>the bottom of the heap</w:t>
      </w:r>
      <w:r>
        <w:t>” (</w:t>
      </w:r>
      <w:r w:rsidRPr="00800433">
        <w:rPr>
          <w:i/>
        </w:rPr>
        <w:t>Clinician 2)</w:t>
      </w:r>
      <w:r>
        <w:t xml:space="preserve">.  Conversely, participants indicated that some AHAs represent a stable, older workforce, who had significant experience and were extremely capable of doing routine tasks unsupervised: </w:t>
      </w:r>
      <w:r w:rsidRPr="000B4543">
        <w:rPr>
          <w:i/>
        </w:rPr>
        <w:t xml:space="preserve"> </w:t>
      </w:r>
      <w:r w:rsidR="000075C0">
        <w:rPr>
          <w:i/>
        </w:rPr>
        <w:t>“</w:t>
      </w:r>
      <w:r w:rsidRPr="000B4543">
        <w:rPr>
          <w:i/>
        </w:rPr>
        <w:t>some assistants have been here a very long time</w:t>
      </w:r>
      <w:r>
        <w:rPr>
          <w:i/>
        </w:rPr>
        <w:t>, s</w:t>
      </w:r>
      <w:r w:rsidRPr="000B4543">
        <w:rPr>
          <w:i/>
        </w:rPr>
        <w:t>o their reputation is very positive.  They're seen as the ex</w:t>
      </w:r>
      <w:r>
        <w:rPr>
          <w:i/>
        </w:rPr>
        <w:t>pert and they're well respected</w:t>
      </w:r>
      <w:r w:rsidR="000075C0">
        <w:rPr>
          <w:i/>
        </w:rPr>
        <w:t>”</w:t>
      </w:r>
      <w:r>
        <w:rPr>
          <w:i/>
        </w:rPr>
        <w:t xml:space="preserve"> (Clinician 4).</w:t>
      </w:r>
    </w:p>
    <w:p w14:paraId="33714902" w14:textId="77777777" w:rsidR="00C71D70" w:rsidRDefault="00C71D70" w:rsidP="00646504">
      <w:pPr>
        <w:pStyle w:val="NoSpacing"/>
        <w:spacing w:before="120" w:after="120" w:line="480" w:lineRule="auto"/>
        <w:rPr>
          <w:i/>
        </w:rPr>
      </w:pPr>
    </w:p>
    <w:p w14:paraId="43043BD8" w14:textId="2214EF6C" w:rsidR="0000551E" w:rsidRDefault="001F78DC" w:rsidP="00646504">
      <w:pPr>
        <w:pStyle w:val="NoSpacing"/>
        <w:spacing w:before="120" w:after="120" w:line="480" w:lineRule="auto"/>
      </w:pPr>
      <w:r>
        <w:rPr>
          <w:i/>
        </w:rPr>
        <w:t xml:space="preserve"> </w:t>
      </w:r>
      <w:r w:rsidRPr="007F0F09">
        <w:t>Clinician</w:t>
      </w:r>
      <w:r>
        <w:t xml:space="preserve"> participants describ</w:t>
      </w:r>
      <w:r w:rsidR="000075C0">
        <w:t>ed</w:t>
      </w:r>
      <w:r w:rsidR="007F0F09">
        <w:t xml:space="preserve"> </w:t>
      </w:r>
      <w:r>
        <w:t xml:space="preserve">observing their professional peers being </w:t>
      </w:r>
      <w:r w:rsidRPr="001F78DC">
        <w:t xml:space="preserve">reluctant to delegate to AHAs unless there were longstanding relationships of trust and they knew </w:t>
      </w:r>
      <w:r w:rsidR="00907BD8">
        <w:t xml:space="preserve">that </w:t>
      </w:r>
      <w:r w:rsidRPr="001F78DC">
        <w:t>AHAs ha</w:t>
      </w:r>
      <w:r w:rsidR="00907BD8">
        <w:t>d</w:t>
      </w:r>
      <w:r w:rsidRPr="001F78DC">
        <w:t xml:space="preserve"> the required capability. While stable and older AHAs were noted to be competent and well respected, some AHAs were delegated basic and routine tasks that did not fully utilise their capabilities. </w:t>
      </w:r>
      <w:r w:rsidR="00907BD8">
        <w:t xml:space="preserve">Clinician </w:t>
      </w:r>
      <w:r w:rsidR="007F0F09">
        <w:t>participants also</w:t>
      </w:r>
      <w:r w:rsidR="0000551E">
        <w:t xml:space="preserve"> acknowledge</w:t>
      </w:r>
      <w:r w:rsidR="00907BD8">
        <w:t>d</w:t>
      </w:r>
      <w:r w:rsidR="0000551E">
        <w:t xml:space="preserve"> that </w:t>
      </w:r>
      <w:r w:rsidR="005A7BEC">
        <w:t xml:space="preserve">some </w:t>
      </w:r>
      <w:r w:rsidR="0000551E">
        <w:t xml:space="preserve">professional staff </w:t>
      </w:r>
      <w:r w:rsidR="005A7BEC">
        <w:t xml:space="preserve">did </w:t>
      </w:r>
      <w:r w:rsidR="0000551E">
        <w:t>not have the skills to delegate tasks appropriately.</w:t>
      </w:r>
      <w:r w:rsidR="0000551E" w:rsidRPr="009959A5">
        <w:t xml:space="preserve"> </w:t>
      </w:r>
      <w:r w:rsidR="0000551E">
        <w:t xml:space="preserve">Delegating to assistants </w:t>
      </w:r>
      <w:r w:rsidR="005A7BEC">
        <w:t xml:space="preserve">was noted </w:t>
      </w:r>
      <w:r w:rsidR="007F0F09">
        <w:t>as especially</w:t>
      </w:r>
      <w:r w:rsidR="0000551E">
        <w:t xml:space="preserve"> difficult for new graduates who </w:t>
      </w:r>
      <w:r w:rsidR="005A7BEC">
        <w:t>we</w:t>
      </w:r>
      <w:r w:rsidR="0000551E">
        <w:t xml:space="preserve">re still trying to establish their identity and </w:t>
      </w:r>
      <w:r w:rsidR="0000551E">
        <w:lastRenderedPageBreak/>
        <w:t>place within the profession and their workplace</w:t>
      </w:r>
      <w:r w:rsidR="005A7BEC">
        <w:t xml:space="preserve">. Further, the </w:t>
      </w:r>
      <w:r w:rsidR="00907BD8">
        <w:t xml:space="preserve">AHAs </w:t>
      </w:r>
      <w:r w:rsidR="005A7BEC">
        <w:t xml:space="preserve">usually </w:t>
      </w:r>
      <w:r w:rsidR="0000551E">
        <w:t>ha</w:t>
      </w:r>
      <w:r w:rsidR="005A7BEC">
        <w:t>d</w:t>
      </w:r>
      <w:r w:rsidR="0000551E">
        <w:t xml:space="preserve"> more workplace experience than the new graduates. </w:t>
      </w:r>
    </w:p>
    <w:p w14:paraId="1C0AAAF8" w14:textId="77777777" w:rsidR="00C71D70" w:rsidRDefault="00C71D70" w:rsidP="00646504">
      <w:pPr>
        <w:pStyle w:val="NoSpacing"/>
        <w:spacing w:before="120" w:after="120" w:line="480" w:lineRule="auto"/>
      </w:pPr>
    </w:p>
    <w:p w14:paraId="2EC1E412" w14:textId="661084F0" w:rsidR="0000551E" w:rsidRDefault="0000551E" w:rsidP="00646504">
      <w:pPr>
        <w:pStyle w:val="NoSpacing"/>
        <w:spacing w:before="120" w:after="120" w:line="480" w:lineRule="auto"/>
      </w:pPr>
      <w:r>
        <w:t>Academic participants suggested that the assistant workforce may be perceived as a threat to the professions</w:t>
      </w:r>
      <w:r w:rsidR="000F20A7">
        <w:t>, where s</w:t>
      </w:r>
      <w:r>
        <w:t>ome professionals may be reluctant to let go of routine tasks, for fear of losing recognition for some part of their role: “</w:t>
      </w:r>
      <w:r w:rsidRPr="009959A5">
        <w:rPr>
          <w:i/>
        </w:rPr>
        <w:t>I understand that can undermine the professional position of the discipline</w:t>
      </w:r>
      <w:r w:rsidR="007F3735">
        <w:t>” (</w:t>
      </w:r>
      <w:r w:rsidR="000F20A7" w:rsidRPr="007F0F09">
        <w:rPr>
          <w:i/>
        </w:rPr>
        <w:t>Academic 2</w:t>
      </w:r>
      <w:r w:rsidR="000F20A7">
        <w:t>)</w:t>
      </w:r>
      <w:r>
        <w:t xml:space="preserve">. </w:t>
      </w:r>
      <w:r w:rsidR="000F20A7">
        <w:t xml:space="preserve">Participants described situations where </w:t>
      </w:r>
      <w:r>
        <w:t>professionals d</w:t>
      </w:r>
      <w:r w:rsidR="000F20A7">
        <w:t>id</w:t>
      </w:r>
      <w:r>
        <w:t xml:space="preserve"> not have control over the assistants’ scope of practice or their professional development</w:t>
      </w:r>
      <w:r w:rsidR="000F20A7">
        <w:t xml:space="preserve"> and suggested </w:t>
      </w:r>
      <w:r w:rsidR="00907BD8">
        <w:t xml:space="preserve">that </w:t>
      </w:r>
      <w:r w:rsidR="000F20A7">
        <w:t>this enhanced the perceived threat</w:t>
      </w:r>
      <w:r>
        <w:t xml:space="preserve">. </w:t>
      </w:r>
      <w:r w:rsidR="00537162">
        <w:t>It</w:t>
      </w:r>
      <w:r w:rsidR="000F20A7">
        <w:t xml:space="preserve"> was </w:t>
      </w:r>
      <w:r w:rsidR="007F0F09">
        <w:t>reported that</w:t>
      </w:r>
      <w:r w:rsidR="000F20A7">
        <w:t xml:space="preserve"> </w:t>
      </w:r>
      <w:r>
        <w:t xml:space="preserve">this negative perception may be more pronounced within the acute setting. Participants generally </w:t>
      </w:r>
      <w:r w:rsidR="007F0F09">
        <w:t>acknowledged</w:t>
      </w:r>
      <w:r>
        <w:t xml:space="preserve"> that the assistant workforce play</w:t>
      </w:r>
      <w:r w:rsidR="000F20A7">
        <w:t>ed</w:t>
      </w:r>
      <w:r>
        <w:t xml:space="preserve"> an important role in health settings such as community, remote, indigenous</w:t>
      </w:r>
      <w:r w:rsidR="00537162">
        <w:t>, disability</w:t>
      </w:r>
      <w:r>
        <w:t>, rehabilitation, mental health, and aged care</w:t>
      </w:r>
      <w:r w:rsidRPr="008C140C">
        <w:t xml:space="preserve"> </w:t>
      </w:r>
      <w:r>
        <w:t>health services.</w:t>
      </w:r>
    </w:p>
    <w:p w14:paraId="604DAC61" w14:textId="77777777" w:rsidR="00C71D70" w:rsidRDefault="00C71D70" w:rsidP="00646504">
      <w:pPr>
        <w:pStyle w:val="NoSpacing"/>
        <w:spacing w:before="120" w:after="120" w:line="480" w:lineRule="auto"/>
      </w:pPr>
    </w:p>
    <w:p w14:paraId="20788100" w14:textId="6FB2259E" w:rsidR="0000551E" w:rsidRDefault="0000551E" w:rsidP="00646504">
      <w:pPr>
        <w:spacing w:line="480" w:lineRule="auto"/>
      </w:pPr>
      <w:r>
        <w:t>Finally, some academic participants indicated that the actual role of health assistants may be under threat due to advances in technology. The</w:t>
      </w:r>
      <w:r w:rsidR="000F20A7">
        <w:t>y described the</w:t>
      </w:r>
      <w:r>
        <w:t xml:space="preserve"> increased use of automation and robot technology </w:t>
      </w:r>
      <w:r w:rsidR="000F20A7">
        <w:t xml:space="preserve">and </w:t>
      </w:r>
      <w:r>
        <w:t>suggest</w:t>
      </w:r>
      <w:r w:rsidR="000F20A7">
        <w:t>ed</w:t>
      </w:r>
      <w:r>
        <w:t xml:space="preserve"> that routine and predictable tasks will be able to be performed by computers and machines</w:t>
      </w:r>
      <w:r w:rsidR="000F20A7">
        <w:t xml:space="preserve"> in the future</w:t>
      </w:r>
      <w:r>
        <w:t xml:space="preserve">. </w:t>
      </w:r>
      <w:r w:rsidR="000F20A7">
        <w:t xml:space="preserve">Given that many of the tasks performed by AHAs are routine and predictable, participants </w:t>
      </w:r>
      <w:r w:rsidR="008A5B66">
        <w:t>suggested</w:t>
      </w:r>
      <w:r>
        <w:t xml:space="preserve"> that the role of </w:t>
      </w:r>
      <w:r w:rsidR="00790769">
        <w:t xml:space="preserve">allied </w:t>
      </w:r>
      <w:r>
        <w:t xml:space="preserve">health assistants may need to change in the future to remain viable and sustainable. </w:t>
      </w:r>
    </w:p>
    <w:p w14:paraId="49F99678" w14:textId="77777777" w:rsidR="0000551E" w:rsidRPr="00F81718" w:rsidRDefault="0000551E" w:rsidP="00646504">
      <w:pPr>
        <w:pStyle w:val="NoSpacing"/>
        <w:spacing w:before="120" w:after="120" w:line="480" w:lineRule="auto"/>
      </w:pPr>
    </w:p>
    <w:p w14:paraId="070E5FA6" w14:textId="398BEBC4" w:rsidR="0000551E" w:rsidRPr="00C71D70" w:rsidRDefault="00626475" w:rsidP="00BF57D4">
      <w:pPr>
        <w:pStyle w:val="Heading3"/>
      </w:pPr>
      <w:r w:rsidRPr="00C71D70">
        <w:lastRenderedPageBreak/>
        <w:t xml:space="preserve">2. </w:t>
      </w:r>
      <w:r w:rsidR="00FE4377" w:rsidRPr="00C71D70">
        <w:t xml:space="preserve">Inconsistent pre-requisite </w:t>
      </w:r>
      <w:r w:rsidR="0000551E" w:rsidRPr="00C71D70">
        <w:t xml:space="preserve">qualifications </w:t>
      </w:r>
      <w:r w:rsidR="00FE4377" w:rsidRPr="00C71D70">
        <w:t xml:space="preserve">and training opportunities for </w:t>
      </w:r>
      <w:r w:rsidR="0000551E" w:rsidRPr="00C71D70">
        <w:t>the health assistant workforce</w:t>
      </w:r>
    </w:p>
    <w:p w14:paraId="6C613676" w14:textId="1C3BD4BD" w:rsidR="0000551E" w:rsidRDefault="0000551E" w:rsidP="0001374B">
      <w:pPr>
        <w:spacing w:line="480" w:lineRule="auto"/>
      </w:pPr>
      <w:r>
        <w:t>Participants recognised that formal t</w:t>
      </w:r>
      <w:r w:rsidRPr="00856A95">
        <w:t xml:space="preserve">raining </w:t>
      </w:r>
      <w:r>
        <w:t xml:space="preserve">for the health assistant workforce is currently offered at the Certificate III or Certificate IV level through the Vocational Education and Training (VET) sector. This includes </w:t>
      </w:r>
      <w:r w:rsidR="00790769">
        <w:t>Technical and Further Education (</w:t>
      </w:r>
      <w:r>
        <w:t>TAFE</w:t>
      </w:r>
      <w:r w:rsidR="00790769">
        <w:t xml:space="preserve">) and </w:t>
      </w:r>
      <w:r>
        <w:t>private colleges</w:t>
      </w:r>
      <w:r w:rsidR="00E521A3">
        <w:t>,</w:t>
      </w:r>
      <w:r w:rsidR="00FE4377">
        <w:t xml:space="preserve"> </w:t>
      </w:r>
      <w:r>
        <w:t>professional associations</w:t>
      </w:r>
      <w:r w:rsidR="00E521A3">
        <w:t xml:space="preserve"> and </w:t>
      </w:r>
      <w:r>
        <w:t>on-line training packages</w:t>
      </w:r>
      <w:r w:rsidR="00E521A3">
        <w:t xml:space="preserve"> within Queensland Health</w:t>
      </w:r>
      <w:r w:rsidR="00FE4377">
        <w:t xml:space="preserve">. </w:t>
      </w:r>
      <w:r>
        <w:t>Although many AHAs ha</w:t>
      </w:r>
      <w:r w:rsidR="007F3735">
        <w:t xml:space="preserve">d </w:t>
      </w:r>
      <w:r>
        <w:t xml:space="preserve">a certificate III or IV, clinician </w:t>
      </w:r>
      <w:r w:rsidR="00E521A3">
        <w:t>participants</w:t>
      </w:r>
      <w:r>
        <w:t xml:space="preserve"> </w:t>
      </w:r>
      <w:r w:rsidR="00E521A3">
        <w:t>reported</w:t>
      </w:r>
      <w:r w:rsidR="00FE4377">
        <w:t xml:space="preserve"> </w:t>
      </w:r>
      <w:r>
        <w:t xml:space="preserve">that formal qualifications </w:t>
      </w:r>
      <w:r w:rsidR="00E521A3">
        <w:t>we</w:t>
      </w:r>
      <w:r>
        <w:t xml:space="preserve">re not a specified requirement for employment of AHAs at entry level positions. While a certificate IV </w:t>
      </w:r>
      <w:r w:rsidR="007F3735">
        <w:t>wa</w:t>
      </w:r>
      <w:r>
        <w:t xml:space="preserve">s required for an advanced AHA, </w:t>
      </w:r>
      <w:r w:rsidR="00E521A3">
        <w:t xml:space="preserve">clinician participants reported that </w:t>
      </w:r>
      <w:r>
        <w:t xml:space="preserve">most hospital positions </w:t>
      </w:r>
      <w:r w:rsidR="00E521A3">
        <w:t>we</w:t>
      </w:r>
      <w:r>
        <w:t xml:space="preserve">re not funded for these advanced positions. Further, clinician </w:t>
      </w:r>
      <w:r w:rsidR="007F3735">
        <w:t xml:space="preserve">participants </w:t>
      </w:r>
      <w:r>
        <w:t>re</w:t>
      </w:r>
      <w:r w:rsidR="00E521A3">
        <w:t xml:space="preserve">ported the inadequacy </w:t>
      </w:r>
      <w:r w:rsidR="007F0F09">
        <w:t>of formal</w:t>
      </w:r>
      <w:r>
        <w:t xml:space="preserve"> education for local role expectations. They reported that AHAs require</w:t>
      </w:r>
      <w:r w:rsidR="00E521A3">
        <w:t>d</w:t>
      </w:r>
      <w:r>
        <w:t xml:space="preserve"> a high level of practical on the job training to </w:t>
      </w:r>
      <w:r w:rsidR="007F0F09">
        <w:t>be prepared</w:t>
      </w:r>
      <w:r w:rsidR="00FE4377">
        <w:t xml:space="preserve"> </w:t>
      </w:r>
      <w:r>
        <w:t xml:space="preserve">for the practical tasks they </w:t>
      </w:r>
      <w:r w:rsidR="00E521A3">
        <w:t>we</w:t>
      </w:r>
      <w:r>
        <w:t>re required to do: “</w:t>
      </w:r>
      <w:r w:rsidRPr="00D046F0">
        <w:rPr>
          <w:i/>
        </w:rPr>
        <w:t>it doesn’t make them work ready… [they are not able] to do any of the technical tasks we need them to do</w:t>
      </w:r>
      <w:r w:rsidR="007F0F09">
        <w:t>” (</w:t>
      </w:r>
      <w:r w:rsidR="00E521A3">
        <w:t xml:space="preserve">Clinician </w:t>
      </w:r>
      <w:r w:rsidR="007F3735">
        <w:t>6</w:t>
      </w:r>
      <w:r w:rsidR="00E521A3">
        <w:t>)</w:t>
      </w:r>
      <w:r>
        <w:t xml:space="preserve">. Most commonly, </w:t>
      </w:r>
      <w:r w:rsidR="00E521A3">
        <w:t xml:space="preserve">participants described the provision of </w:t>
      </w:r>
      <w:r>
        <w:t>informal training i</w:t>
      </w:r>
      <w:r w:rsidR="00E521A3">
        <w:t xml:space="preserve">n </w:t>
      </w:r>
      <w:r>
        <w:t>the workplace to meet practical and local expectations. However,</w:t>
      </w:r>
      <w:r w:rsidR="00E521A3">
        <w:t xml:space="preserve"> clinician participants described</w:t>
      </w:r>
      <w:r>
        <w:t xml:space="preserve"> limited </w:t>
      </w:r>
      <w:r w:rsidR="00E521A3">
        <w:t xml:space="preserve">opportunities </w:t>
      </w:r>
      <w:r>
        <w:t>for ongoing professional development and career advancement opportunities for the</w:t>
      </w:r>
      <w:r w:rsidR="00E521A3">
        <w:t>ir</w:t>
      </w:r>
      <w:r>
        <w:t xml:space="preserve"> assistant health workforce. </w:t>
      </w:r>
      <w:r w:rsidR="00E521A3">
        <w:t xml:space="preserve">They </w:t>
      </w:r>
      <w:r>
        <w:t xml:space="preserve">described </w:t>
      </w:r>
      <w:r w:rsidR="00E521A3">
        <w:t xml:space="preserve">ways in which </w:t>
      </w:r>
      <w:r>
        <w:t xml:space="preserve">health assistants </w:t>
      </w:r>
      <w:r w:rsidR="00E521A3">
        <w:t xml:space="preserve">have not been </w:t>
      </w:r>
      <w:r>
        <w:t>supported:</w:t>
      </w:r>
      <w:r w:rsidR="00FE4377">
        <w:t xml:space="preserve"> </w:t>
      </w:r>
      <w:r w:rsidR="00A226F6">
        <w:rPr>
          <w:i/>
        </w:rPr>
        <w:t>“</w:t>
      </w:r>
      <w:r w:rsidRPr="00926261">
        <w:rPr>
          <w:i/>
        </w:rPr>
        <w:t xml:space="preserve">they're not necessarily supported to </w:t>
      </w:r>
      <w:r>
        <w:rPr>
          <w:i/>
        </w:rPr>
        <w:t>go and do a lot of the training</w:t>
      </w:r>
      <w:r w:rsidRPr="00926261">
        <w:rPr>
          <w:i/>
        </w:rPr>
        <w:t xml:space="preserve">.  They're not given the same opportunities and the professional development allowances to go and do that </w:t>
      </w:r>
      <w:r>
        <w:rPr>
          <w:i/>
        </w:rPr>
        <w:t xml:space="preserve">[with] </w:t>
      </w:r>
      <w:r w:rsidRPr="00926261">
        <w:rPr>
          <w:i/>
        </w:rPr>
        <w:t>the organisation supporting them and paying them to do it</w:t>
      </w:r>
      <w:r w:rsidR="00A226F6">
        <w:rPr>
          <w:i/>
        </w:rPr>
        <w:t>”</w:t>
      </w:r>
      <w:r>
        <w:t>.</w:t>
      </w:r>
      <w:r w:rsidR="00FE4377">
        <w:t xml:space="preserve"> </w:t>
      </w:r>
      <w:r w:rsidR="00E521A3">
        <w:t>(Clinician 2)</w:t>
      </w:r>
    </w:p>
    <w:p w14:paraId="68735084" w14:textId="77777777" w:rsidR="0000551E" w:rsidRDefault="0000551E" w:rsidP="00646504">
      <w:pPr>
        <w:pStyle w:val="NoSpacing"/>
        <w:spacing w:before="120" w:after="120" w:line="480" w:lineRule="auto"/>
        <w:ind w:left="720"/>
      </w:pPr>
      <w:bookmarkStart w:id="0" w:name="_GoBack"/>
    </w:p>
    <w:bookmarkEnd w:id="0"/>
    <w:p w14:paraId="2AE4B757" w14:textId="11AB5A47" w:rsidR="0000551E" w:rsidRPr="004116E6" w:rsidRDefault="00626475" w:rsidP="00BF57D4">
      <w:pPr>
        <w:pStyle w:val="Heading3"/>
      </w:pPr>
      <w:r>
        <w:lastRenderedPageBreak/>
        <w:t xml:space="preserve">3. </w:t>
      </w:r>
      <w:r w:rsidR="004F54F7">
        <w:t>Limited e</w:t>
      </w:r>
      <w:r w:rsidR="0000551E" w:rsidRPr="004116E6">
        <w:t>ducational pathways for the health assistant workforce</w:t>
      </w:r>
    </w:p>
    <w:p w14:paraId="235A40DA" w14:textId="1E31F393" w:rsidR="007F3735" w:rsidRDefault="0000551E" w:rsidP="007F0F09">
      <w:pPr>
        <w:pStyle w:val="NoSpacing"/>
        <w:spacing w:before="120" w:after="120" w:line="480" w:lineRule="auto"/>
      </w:pPr>
      <w:r w:rsidRPr="0007452C">
        <w:t xml:space="preserve">Participants </w:t>
      </w:r>
      <w:r w:rsidR="005C229A">
        <w:t xml:space="preserve">confirmed </w:t>
      </w:r>
      <w:r w:rsidRPr="0007452C">
        <w:t xml:space="preserve">that there </w:t>
      </w:r>
      <w:r w:rsidR="005C229A">
        <w:t>are</w:t>
      </w:r>
      <w:r w:rsidRPr="0007452C">
        <w:t xml:space="preserve"> no </w:t>
      </w:r>
      <w:r w:rsidR="005C229A">
        <w:t xml:space="preserve">current </w:t>
      </w:r>
      <w:r>
        <w:t xml:space="preserve">university </w:t>
      </w:r>
      <w:r w:rsidRPr="0007452C">
        <w:t>qualification</w:t>
      </w:r>
      <w:r w:rsidR="005C229A">
        <w:t>s</w:t>
      </w:r>
      <w:r w:rsidRPr="0007452C">
        <w:t xml:space="preserve"> for</w:t>
      </w:r>
      <w:r w:rsidR="00626475">
        <w:t xml:space="preserve"> AHAs</w:t>
      </w:r>
      <w:r w:rsidRPr="0007452C">
        <w:t xml:space="preserve">.  </w:t>
      </w:r>
      <w:r>
        <w:t>Further,</w:t>
      </w:r>
      <w:r w:rsidRPr="0007452C">
        <w:t xml:space="preserve"> they did not support </w:t>
      </w:r>
      <w:r>
        <w:t>u</w:t>
      </w:r>
      <w:r w:rsidRPr="0007452C">
        <w:t xml:space="preserve">niversities developing </w:t>
      </w:r>
      <w:r>
        <w:t>d</w:t>
      </w:r>
      <w:r w:rsidRPr="0007452C">
        <w:t xml:space="preserve">iploma-level qualifications for the assistant workforce. </w:t>
      </w:r>
      <w:r>
        <w:t>Clinician participants c</w:t>
      </w:r>
      <w:r w:rsidRPr="0007452C">
        <w:t xml:space="preserve">onsidered it unlikely that the financial </w:t>
      </w:r>
      <w:r w:rsidR="00537162">
        <w:t xml:space="preserve">costs of university study </w:t>
      </w:r>
      <w:r w:rsidR="00A226F6">
        <w:t xml:space="preserve">for AHAs </w:t>
      </w:r>
      <w:r w:rsidRPr="0007452C">
        <w:t xml:space="preserve">would be </w:t>
      </w:r>
      <w:r w:rsidR="00537162">
        <w:t>sufficiently reimbursed</w:t>
      </w:r>
      <w:r w:rsidRPr="0007452C">
        <w:t>.  Th</w:t>
      </w:r>
      <w:r w:rsidR="005C229A">
        <w:t xml:space="preserve">ey anticipated that the </w:t>
      </w:r>
      <w:r w:rsidRPr="0007452C">
        <w:t xml:space="preserve">high cost of university qualification </w:t>
      </w:r>
      <w:r w:rsidR="005C229A">
        <w:t>would be</w:t>
      </w:r>
      <w:r w:rsidRPr="0007452C">
        <w:t xml:space="preserve"> unlikely to be supported by employers </w:t>
      </w:r>
      <w:r>
        <w:t xml:space="preserve">at the outset </w:t>
      </w:r>
      <w:r w:rsidRPr="0007452C">
        <w:t>or re</w:t>
      </w:r>
      <w:r w:rsidR="00537162">
        <w:t xml:space="preserve">cognised through higher pay levels for individuals after graduation. </w:t>
      </w:r>
      <w:r>
        <w:t xml:space="preserve"> </w:t>
      </w:r>
      <w:r w:rsidR="005C229A">
        <w:t xml:space="preserve">Clinician participants expressed </w:t>
      </w:r>
      <w:r w:rsidRPr="0007452C">
        <w:t>concern that any increase in AHA pay or capability would conflict with a new graduate AHP in both role and costs, and th</w:t>
      </w:r>
      <w:r w:rsidR="005C229A">
        <w:t xml:space="preserve">is would reinforce their preference </w:t>
      </w:r>
      <w:r w:rsidRPr="0007452C">
        <w:t xml:space="preserve">to employ a new graduate. </w:t>
      </w:r>
      <w:r w:rsidR="007F3735">
        <w:t>A number of clinician participants indicated they preferred to employ new-graduates over assistants, especially when organisations were short-staffed due to budget constraints: “[</w:t>
      </w:r>
      <w:r w:rsidR="007F3735">
        <w:rPr>
          <w:i/>
        </w:rPr>
        <w:t xml:space="preserve">new graduates] </w:t>
      </w:r>
      <w:r w:rsidR="007F3735" w:rsidRPr="00F85492">
        <w:rPr>
          <w:i/>
        </w:rPr>
        <w:t>skill up really quickly and have got so many other attributes that are valuable</w:t>
      </w:r>
      <w:r w:rsidR="007F3735">
        <w:t>” (</w:t>
      </w:r>
      <w:r w:rsidR="007F3735" w:rsidRPr="00A077B4">
        <w:rPr>
          <w:i/>
        </w:rPr>
        <w:t>Clinician 5</w:t>
      </w:r>
      <w:r w:rsidR="007F3735">
        <w:t xml:space="preserve">). </w:t>
      </w:r>
    </w:p>
    <w:p w14:paraId="1EDAFF99" w14:textId="77777777" w:rsidR="00C71D70" w:rsidRDefault="00C71D70" w:rsidP="007F0F09">
      <w:pPr>
        <w:pStyle w:val="NoSpacing"/>
        <w:spacing w:before="120" w:after="120" w:line="480" w:lineRule="auto"/>
      </w:pPr>
    </w:p>
    <w:p w14:paraId="5876A02B" w14:textId="5269868B" w:rsidR="0000551E" w:rsidRDefault="0000551E" w:rsidP="00646504">
      <w:pPr>
        <w:spacing w:line="480" w:lineRule="auto"/>
      </w:pPr>
      <w:r w:rsidRPr="0007452C">
        <w:t xml:space="preserve">Further, </w:t>
      </w:r>
      <w:r w:rsidR="00D4297B">
        <w:t xml:space="preserve">both academic and clinical participants discussed that </w:t>
      </w:r>
      <w:r w:rsidR="00A226F6">
        <w:t>a</w:t>
      </w:r>
      <w:r w:rsidR="00D4297B">
        <w:t xml:space="preserve"> high proportion of local and </w:t>
      </w:r>
      <w:r w:rsidRPr="0007452C">
        <w:t xml:space="preserve">technical training for assistants needs to occur in the work environment and that </w:t>
      </w:r>
      <w:r w:rsidR="00D4297B">
        <w:t xml:space="preserve">it </w:t>
      </w:r>
      <w:r w:rsidRPr="0007452C">
        <w:t xml:space="preserve">would be difficult for Universities to support. </w:t>
      </w:r>
      <w:r w:rsidR="00D4297B">
        <w:t xml:space="preserve">They emphasised that </w:t>
      </w:r>
      <w:r w:rsidRPr="0007452C">
        <w:t>the ambiguity and instability around the health assistant role within the workplace and the lack of support from the professions present</w:t>
      </w:r>
      <w:r w:rsidR="00D4297B">
        <w:t>ed</w:t>
      </w:r>
      <w:r w:rsidRPr="0007452C">
        <w:t xml:space="preserve"> a significant risk for Universities to invest in this space.  </w:t>
      </w:r>
    </w:p>
    <w:p w14:paraId="528C5BCF" w14:textId="77777777" w:rsidR="00C71D70" w:rsidRDefault="00C71D70" w:rsidP="00646504">
      <w:pPr>
        <w:spacing w:line="480" w:lineRule="auto"/>
      </w:pPr>
    </w:p>
    <w:p w14:paraId="6313E07F" w14:textId="30C11C63" w:rsidR="0000551E" w:rsidRDefault="00D4297B" w:rsidP="00646504">
      <w:pPr>
        <w:spacing w:line="480" w:lineRule="auto"/>
      </w:pPr>
      <w:r>
        <w:t xml:space="preserve">In some professions, </w:t>
      </w:r>
      <w:r w:rsidR="0000551E">
        <w:t xml:space="preserve">assistant work experience </w:t>
      </w:r>
      <w:r>
        <w:t xml:space="preserve">was reported to </w:t>
      </w:r>
      <w:r w:rsidR="0000551E">
        <w:t>prepare AHAs for professional qualifications: “</w:t>
      </w:r>
      <w:r w:rsidR="0000551E" w:rsidRPr="004052F3">
        <w:rPr>
          <w:i/>
        </w:rPr>
        <w:t>There's a pathway that could be explored and maybe it's about setting up bridging pathways</w:t>
      </w:r>
      <w:r w:rsidR="007F3735">
        <w:rPr>
          <w:i/>
        </w:rPr>
        <w:t>”</w:t>
      </w:r>
      <w:r w:rsidR="007F3735">
        <w:t xml:space="preserve"> (</w:t>
      </w:r>
      <w:r w:rsidRPr="007F0F09">
        <w:rPr>
          <w:i/>
        </w:rPr>
        <w:t>Academic 3</w:t>
      </w:r>
      <w:r>
        <w:t>)</w:t>
      </w:r>
      <w:r w:rsidR="007F3735">
        <w:t>.</w:t>
      </w:r>
      <w:r w:rsidR="0000551E">
        <w:t xml:space="preserve"> </w:t>
      </w:r>
      <w:r>
        <w:t xml:space="preserve">As an </w:t>
      </w:r>
      <w:r w:rsidR="0000551E">
        <w:t>example, assistants who ha</w:t>
      </w:r>
      <w:r w:rsidR="00A226F6">
        <w:t>d</w:t>
      </w:r>
      <w:r w:rsidR="0000551E">
        <w:t xml:space="preserve"> worked in their role for a period of time </w:t>
      </w:r>
      <w:r>
        <w:t xml:space="preserve">were reported to </w:t>
      </w:r>
      <w:r w:rsidR="0000551E">
        <w:t xml:space="preserve"> move into  professional </w:t>
      </w:r>
      <w:r>
        <w:t>d</w:t>
      </w:r>
      <w:r w:rsidR="0000551E">
        <w:t>egree</w:t>
      </w:r>
      <w:r>
        <w:t>s</w:t>
      </w:r>
      <w:r w:rsidR="0000551E">
        <w:t>:</w:t>
      </w:r>
      <w:r w:rsidR="00BF6287">
        <w:t xml:space="preserve"> </w:t>
      </w:r>
      <w:r w:rsidR="00C71D70">
        <w:t>“</w:t>
      </w:r>
      <w:r w:rsidR="0000551E">
        <w:rPr>
          <w:i/>
        </w:rPr>
        <w:t>m</w:t>
      </w:r>
      <w:r w:rsidR="0000551E" w:rsidRPr="004052F3">
        <w:rPr>
          <w:i/>
        </w:rPr>
        <w:t xml:space="preserve">ature </w:t>
      </w:r>
      <w:r w:rsidR="0000551E" w:rsidRPr="004052F3">
        <w:rPr>
          <w:i/>
        </w:rPr>
        <w:lastRenderedPageBreak/>
        <w:t>aged student</w:t>
      </w:r>
      <w:r w:rsidR="00C71D70">
        <w:rPr>
          <w:i/>
        </w:rPr>
        <w:t>s</w:t>
      </w:r>
      <w:r w:rsidR="0000551E" w:rsidRPr="004052F3">
        <w:rPr>
          <w:i/>
        </w:rPr>
        <w:t xml:space="preserve"> that have been working around the community sector for a long time </w:t>
      </w:r>
      <w:r w:rsidR="0000551E">
        <w:rPr>
          <w:i/>
        </w:rPr>
        <w:t>…</w:t>
      </w:r>
      <w:r w:rsidR="0000551E" w:rsidRPr="004052F3">
        <w:rPr>
          <w:i/>
        </w:rPr>
        <w:t xml:space="preserve"> reach a point where they understand that they're probably being exploited financially, and if they come back and do a professional qualification, they'll be able to shift into higher positions and do different types of work that they probably aren't able or allowed to do</w:t>
      </w:r>
      <w:r w:rsidR="007F3735">
        <w:t xml:space="preserve">” </w:t>
      </w:r>
      <w:r>
        <w:t>(</w:t>
      </w:r>
      <w:r w:rsidRPr="007F0F09">
        <w:rPr>
          <w:i/>
        </w:rPr>
        <w:t>Academic 3</w:t>
      </w:r>
      <w:r>
        <w:t>)</w:t>
      </w:r>
      <w:r w:rsidR="007F3735">
        <w:t xml:space="preserve">. </w:t>
      </w:r>
      <w:r w:rsidR="00BF6287">
        <w:t>H</w:t>
      </w:r>
      <w:r w:rsidR="0000551E">
        <w:t xml:space="preserve">owever, </w:t>
      </w:r>
      <w:r>
        <w:t xml:space="preserve">participants from </w:t>
      </w:r>
      <w:r w:rsidR="0000551E">
        <w:t>other academically competitive professions reported that the assistant workforce generally d</w:t>
      </w:r>
      <w:r>
        <w:t>id</w:t>
      </w:r>
      <w:r w:rsidR="0000551E">
        <w:t xml:space="preserve"> not have the skill, capabilities or capacity to undertake higher level studies: “</w:t>
      </w:r>
      <w:r w:rsidR="0000551E" w:rsidRPr="004052F3">
        <w:rPr>
          <w:i/>
        </w:rPr>
        <w:t xml:space="preserve">I think some of them might struggle academically to achieve [a </w:t>
      </w:r>
      <w:r w:rsidR="0000551E">
        <w:rPr>
          <w:i/>
        </w:rPr>
        <w:t>p</w:t>
      </w:r>
      <w:r w:rsidR="0000551E" w:rsidRPr="004052F3">
        <w:rPr>
          <w:i/>
        </w:rPr>
        <w:t>rofessional degree]</w:t>
      </w:r>
      <w:r w:rsidR="0000551E">
        <w:rPr>
          <w:i/>
        </w:rPr>
        <w:t>"</w:t>
      </w:r>
      <w:r>
        <w:rPr>
          <w:i/>
        </w:rPr>
        <w:t>(Clinician 5)</w:t>
      </w:r>
      <w:r w:rsidR="0000551E">
        <w:t xml:space="preserve">. </w:t>
      </w:r>
      <w:r>
        <w:t>Academic participants reported that f</w:t>
      </w:r>
      <w:r w:rsidR="0000551E">
        <w:t xml:space="preserve">or </w:t>
      </w:r>
      <w:r>
        <w:t xml:space="preserve">some allied health </w:t>
      </w:r>
      <w:r w:rsidR="0000551E">
        <w:t xml:space="preserve">professions, </w:t>
      </w:r>
      <w:r>
        <w:t>u</w:t>
      </w:r>
      <w:r w:rsidR="0000551E">
        <w:t>niversities can fill their places with capable school-leavers. Therefore, the</w:t>
      </w:r>
      <w:r>
        <w:t xml:space="preserve">y suggested there </w:t>
      </w:r>
      <w:r w:rsidR="0000551E">
        <w:t>is no need to recognise assistant qualifications as a pathway into a professional degree</w:t>
      </w:r>
      <w:r>
        <w:t xml:space="preserve">, and it may be </w:t>
      </w:r>
      <w:r w:rsidR="0000551E">
        <w:t>a major disincentive for AHAs to start a full four-year degree without any recognition or credit of their assistant qualifications or work experience.</w:t>
      </w:r>
    </w:p>
    <w:p w14:paraId="0C98645F" w14:textId="77777777" w:rsidR="0000551E" w:rsidRDefault="0000551E" w:rsidP="00646504">
      <w:pPr>
        <w:spacing w:line="480" w:lineRule="auto"/>
      </w:pPr>
    </w:p>
    <w:p w14:paraId="4D4F4A22" w14:textId="77777777" w:rsidR="0000551E" w:rsidRDefault="0000551E" w:rsidP="00646504">
      <w:pPr>
        <w:pStyle w:val="Heading1"/>
        <w:spacing w:line="480" w:lineRule="auto"/>
      </w:pPr>
      <w:r>
        <w:t>Discussion</w:t>
      </w:r>
    </w:p>
    <w:p w14:paraId="75DBC7F9" w14:textId="32564345" w:rsidR="00D44096" w:rsidRDefault="008A5B66">
      <w:pPr>
        <w:spacing w:line="480" w:lineRule="auto"/>
      </w:pPr>
      <w:r>
        <w:t xml:space="preserve">This qualitative exploration </w:t>
      </w:r>
      <w:r w:rsidR="00626475">
        <w:t xml:space="preserve">of </w:t>
      </w:r>
      <w:r w:rsidRPr="008A5B66">
        <w:t>the educational needs and workplace opportunities for AHAs</w:t>
      </w:r>
      <w:r>
        <w:t xml:space="preserve"> revealed three integrated themes </w:t>
      </w:r>
      <w:r w:rsidR="00646504">
        <w:t xml:space="preserve">across both </w:t>
      </w:r>
      <w:r>
        <w:t xml:space="preserve">academic and clinician participants. </w:t>
      </w:r>
      <w:r w:rsidR="00E65029">
        <w:t>Firstly, t</w:t>
      </w:r>
      <w:r>
        <w:t xml:space="preserve">he current </w:t>
      </w:r>
      <w:r w:rsidR="00FE4377">
        <w:t xml:space="preserve">diversity in </w:t>
      </w:r>
      <w:r>
        <w:t>roles</w:t>
      </w:r>
      <w:r w:rsidR="00FE4377">
        <w:t>, capabilities</w:t>
      </w:r>
      <w:r>
        <w:t xml:space="preserve"> and expectations of AHAs is reflected in a broad range of contributions and perceived value within the workplace. </w:t>
      </w:r>
      <w:r w:rsidR="00BF6287">
        <w:t>These inconsistencies appear to limit the realisation of the full potential of AHAs in the workplace</w:t>
      </w:r>
      <w:r w:rsidR="00A226F6">
        <w:t xml:space="preserve"> and  </w:t>
      </w:r>
      <w:r>
        <w:t xml:space="preserve"> </w:t>
      </w:r>
      <w:r w:rsidR="00BF6287">
        <w:t xml:space="preserve">are reinforced through </w:t>
      </w:r>
      <w:r>
        <w:t xml:space="preserve">a lack </w:t>
      </w:r>
      <w:r w:rsidR="007F3735">
        <w:t xml:space="preserve">of </w:t>
      </w:r>
      <w:r>
        <w:t>clarity about AHA capabilities, limited successful delegation and some perceptions of role threat</w:t>
      </w:r>
      <w:r w:rsidR="00BF6287">
        <w:t xml:space="preserve"> </w:t>
      </w:r>
      <w:r w:rsidR="00A226F6">
        <w:t>to</w:t>
      </w:r>
      <w:r w:rsidR="00BF6287">
        <w:t xml:space="preserve"> health professionals</w:t>
      </w:r>
      <w:r>
        <w:t xml:space="preserve">.  </w:t>
      </w:r>
      <w:r w:rsidR="00E65029">
        <w:t>Secondly, i</w:t>
      </w:r>
      <w:r w:rsidR="00FE4377" w:rsidRPr="00FE4377">
        <w:t xml:space="preserve">nconsistent </w:t>
      </w:r>
      <w:r w:rsidR="00FE4377">
        <w:t xml:space="preserve">pre-requisite </w:t>
      </w:r>
      <w:r w:rsidR="00FE4377" w:rsidRPr="00FE4377">
        <w:t>qualifications and training opportunities for the health assistant workforce</w:t>
      </w:r>
      <w:r w:rsidR="00FE4377">
        <w:t xml:space="preserve"> were widely reported. While </w:t>
      </w:r>
      <w:r w:rsidR="00AB26A1">
        <w:t xml:space="preserve">vocational training is preferred, it is not </w:t>
      </w:r>
      <w:r w:rsidR="0000551E">
        <w:t xml:space="preserve">required for employment at entry level </w:t>
      </w:r>
      <w:r w:rsidR="00FE4377">
        <w:t xml:space="preserve">nor perceived by clinician managers as sufficient preparation. Most workplaces offer </w:t>
      </w:r>
      <w:r w:rsidR="0000551E">
        <w:lastRenderedPageBreak/>
        <w:t>practical training, focuse</w:t>
      </w:r>
      <w:r w:rsidR="00FE4377">
        <w:t>d</w:t>
      </w:r>
      <w:r w:rsidR="0000551E">
        <w:t xml:space="preserve"> on </w:t>
      </w:r>
      <w:r w:rsidR="00FE4377">
        <w:t xml:space="preserve">the </w:t>
      </w:r>
      <w:r w:rsidR="0000551E">
        <w:t xml:space="preserve">skills required in the local clinical context. </w:t>
      </w:r>
      <w:r w:rsidR="00E65029">
        <w:t xml:space="preserve">Thirdly, </w:t>
      </w:r>
      <w:r w:rsidR="00BF6287">
        <w:t>there is l</w:t>
      </w:r>
      <w:r w:rsidR="00BF6287" w:rsidRPr="00BF6287">
        <w:t>imited support for universit</w:t>
      </w:r>
      <w:r w:rsidR="00BF6287">
        <w:t xml:space="preserve">y educational pathways for the </w:t>
      </w:r>
      <w:r w:rsidR="00BF6287" w:rsidRPr="00BF6287">
        <w:t>health assistant workforce</w:t>
      </w:r>
      <w:r w:rsidR="00BF6287">
        <w:t xml:space="preserve">. </w:t>
      </w:r>
      <w:r w:rsidR="00646504">
        <w:t>It was recognised that the high costs of university education are unlikely to be supported by employers,</w:t>
      </w:r>
      <w:r w:rsidR="00646504">
        <w:t xml:space="preserve"> and it </w:t>
      </w:r>
      <w:r w:rsidR="00646504">
        <w:t xml:space="preserve">was considered unlikely that universities could support the high levels of practical training and support that AHAs required in local clinical settings. </w:t>
      </w:r>
      <w:r w:rsidR="00BF6287">
        <w:t xml:space="preserve">Although assistant work can prepare some AHAs for professional qualifications, </w:t>
      </w:r>
      <w:r w:rsidR="0001374B">
        <w:t xml:space="preserve">a </w:t>
      </w:r>
      <w:r w:rsidR="0085675A">
        <w:t xml:space="preserve">pathway </w:t>
      </w:r>
      <w:r w:rsidR="0001374B">
        <w:t xml:space="preserve">from assistant to professional qualifications </w:t>
      </w:r>
      <w:r w:rsidR="00BF6287">
        <w:t xml:space="preserve">was not supported in all professions. </w:t>
      </w:r>
    </w:p>
    <w:p w14:paraId="0B93A28E" w14:textId="77777777" w:rsidR="00D44096" w:rsidRDefault="00D44096">
      <w:pPr>
        <w:spacing w:line="480" w:lineRule="auto"/>
      </w:pPr>
    </w:p>
    <w:p w14:paraId="461E2C01" w14:textId="0E5F818D" w:rsidR="0085675A" w:rsidRDefault="0000551E">
      <w:pPr>
        <w:spacing w:line="480" w:lineRule="auto"/>
      </w:pPr>
      <w:r>
        <w:t>Th</w:t>
      </w:r>
      <w:r w:rsidR="00BF6287">
        <w:t xml:space="preserve">e overarching </w:t>
      </w:r>
      <w:r w:rsidR="00E65029">
        <w:t>pattern</w:t>
      </w:r>
      <w:r w:rsidR="00BF6287">
        <w:t xml:space="preserve"> of inconsistent AHA roles and capabilities </w:t>
      </w:r>
      <w:r w:rsidR="001F78DC">
        <w:t>appears to</w:t>
      </w:r>
      <w:r w:rsidR="00626475">
        <w:t xml:space="preserve"> reinforce the diversity in views of the </w:t>
      </w:r>
      <w:r w:rsidR="001F78DC">
        <w:t>contribution and value of AHAs in the workplace. Further, i</w:t>
      </w:r>
      <w:r>
        <w:t xml:space="preserve">t seems that employers’ acceptance of multiple or no formal qualification serves to reinforce </w:t>
      </w:r>
      <w:r w:rsidR="00312771">
        <w:t>the variability of AHA roles and capabilities</w:t>
      </w:r>
      <w:r w:rsidR="0085675A">
        <w:t xml:space="preserve">, and </w:t>
      </w:r>
      <w:r w:rsidR="00AB26A1">
        <w:t xml:space="preserve"> </w:t>
      </w:r>
      <w:r w:rsidR="0085675A">
        <w:t xml:space="preserve"> that </w:t>
      </w:r>
      <w:r w:rsidR="00312771">
        <w:t>local</w:t>
      </w:r>
      <w:r w:rsidR="00E65029">
        <w:t xml:space="preserve"> workplace training</w:t>
      </w:r>
      <w:r w:rsidR="00312771">
        <w:t xml:space="preserve"> </w:t>
      </w:r>
      <w:r w:rsidR="00E65029">
        <w:t xml:space="preserve">appears to </w:t>
      </w:r>
      <w:r w:rsidR="00312771">
        <w:t xml:space="preserve">shape </w:t>
      </w:r>
      <w:r w:rsidR="00E65029">
        <w:t xml:space="preserve">unique </w:t>
      </w:r>
      <w:r w:rsidR="00312771">
        <w:t xml:space="preserve">patterns of </w:t>
      </w:r>
      <w:r>
        <w:t>AHAs</w:t>
      </w:r>
      <w:r w:rsidR="0085675A">
        <w:t>’</w:t>
      </w:r>
      <w:r>
        <w:t xml:space="preserve"> skills and capabilities</w:t>
      </w:r>
      <w:r w:rsidR="00E65029">
        <w:t xml:space="preserve">, which may </w:t>
      </w:r>
      <w:r w:rsidRPr="00DD449E">
        <w:t>also reinforce the selective use of AHAs</w:t>
      </w:r>
      <w:r w:rsidR="0085675A">
        <w:t>’</w:t>
      </w:r>
      <w:r w:rsidRPr="00DD449E">
        <w:t xml:space="preserve"> skills</w:t>
      </w:r>
      <w:r>
        <w:t xml:space="preserve">. </w:t>
      </w:r>
      <w:r w:rsidR="00312771">
        <w:t xml:space="preserve"> </w:t>
      </w:r>
      <w:r w:rsidR="00AB26A1">
        <w:t xml:space="preserve">This pattern of limited role delineation has been reported to lower morale and workplace respect, and hinder effective role development and utilisation (Stute et al., 2014). </w:t>
      </w:r>
      <w:r w:rsidR="00312771">
        <w:t xml:space="preserve">In this situation, </w:t>
      </w:r>
      <w:r w:rsidR="007F3735">
        <w:t>i</w:t>
      </w:r>
      <w:r>
        <w:t xml:space="preserve">t is unlikely that </w:t>
      </w:r>
      <w:r w:rsidRPr="00DD449E">
        <w:t xml:space="preserve">university education for AHAs </w:t>
      </w:r>
      <w:r>
        <w:t xml:space="preserve">will enhance consistent and appropriate </w:t>
      </w:r>
      <w:r w:rsidRPr="00DD449E">
        <w:t xml:space="preserve">utilisation of AHAs in the workforce. </w:t>
      </w:r>
      <w:r>
        <w:t xml:space="preserve"> </w:t>
      </w:r>
    </w:p>
    <w:p w14:paraId="0689B697" w14:textId="77777777" w:rsidR="0085675A" w:rsidRDefault="0085675A">
      <w:pPr>
        <w:spacing w:line="480" w:lineRule="auto"/>
      </w:pPr>
    </w:p>
    <w:p w14:paraId="37984E8D" w14:textId="07620359" w:rsidR="00312771" w:rsidRDefault="0000551E">
      <w:pPr>
        <w:spacing w:line="480" w:lineRule="auto"/>
      </w:pPr>
      <w:r>
        <w:t>There are inherent workforce challenges which will need to be addressed by clinicians and managers before education can be used to promote consistent roles and responsibilities</w:t>
      </w:r>
      <w:r w:rsidR="0001374B">
        <w:t xml:space="preserve"> for AHAs</w:t>
      </w:r>
      <w:r>
        <w:t xml:space="preserve">. </w:t>
      </w:r>
      <w:r w:rsidR="00BA3605">
        <w:t>Continuing workplace reform and development is required to clarify and distinguish AHAs</w:t>
      </w:r>
      <w:r w:rsidR="0085675A">
        <w:t>’</w:t>
      </w:r>
      <w:r w:rsidR="00BA3605">
        <w:t xml:space="preserve"> scope of practice, such that is it integrated with redesigned roles of allied health professions. </w:t>
      </w:r>
      <w:r w:rsidR="00B42684">
        <w:t xml:space="preserve">It will be important that </w:t>
      </w:r>
      <w:r w:rsidR="00B42684" w:rsidRPr="00B42684">
        <w:t xml:space="preserve">both the health assistant and professional workforce are matched to appropriate tasks, to maximise their contribution to patient care and to promote </w:t>
      </w:r>
      <w:r w:rsidR="00B42684" w:rsidRPr="00B42684">
        <w:lastRenderedPageBreak/>
        <w:t>individual job satisfaction (Somerville at el., 20017).</w:t>
      </w:r>
      <w:r w:rsidR="00B42684">
        <w:t xml:space="preserve"> </w:t>
      </w:r>
      <w:r w:rsidR="007F3735">
        <w:t>Clear and consis</w:t>
      </w:r>
      <w:r w:rsidR="00BA3605">
        <w:t xml:space="preserve">tent </w:t>
      </w:r>
      <w:r w:rsidR="00E65029">
        <w:t xml:space="preserve">AHA roles and skills </w:t>
      </w:r>
      <w:r w:rsidR="007F3735">
        <w:t xml:space="preserve">are required before </w:t>
      </w:r>
      <w:r w:rsidR="00E65029">
        <w:t xml:space="preserve">educational opportunities </w:t>
      </w:r>
      <w:r w:rsidR="00BA3605">
        <w:t>c</w:t>
      </w:r>
      <w:r w:rsidR="007F3735">
        <w:t xml:space="preserve">an </w:t>
      </w:r>
      <w:r w:rsidR="00BA3605">
        <w:t xml:space="preserve">adequately </w:t>
      </w:r>
      <w:r w:rsidR="00E65029">
        <w:t xml:space="preserve">prepare AHA for </w:t>
      </w:r>
      <w:r w:rsidR="00BA3605">
        <w:t xml:space="preserve">their work </w:t>
      </w:r>
      <w:r w:rsidR="00E65029">
        <w:t xml:space="preserve">roles, </w:t>
      </w:r>
      <w:r w:rsidR="00BA3605">
        <w:t xml:space="preserve">and </w:t>
      </w:r>
      <w:r w:rsidR="0085675A">
        <w:t xml:space="preserve">allow </w:t>
      </w:r>
      <w:r w:rsidR="00BA3605">
        <w:t xml:space="preserve">continued </w:t>
      </w:r>
      <w:r w:rsidR="0085675A">
        <w:t xml:space="preserve">professional </w:t>
      </w:r>
      <w:r w:rsidR="00E65029">
        <w:t>develop</w:t>
      </w:r>
      <w:r w:rsidR="00BA3605">
        <w:t xml:space="preserve">ment </w:t>
      </w:r>
      <w:r w:rsidR="00E65029">
        <w:t>(</w:t>
      </w:r>
      <w:r w:rsidR="007F3735">
        <w:t xml:space="preserve">Stute et al., 2014; </w:t>
      </w:r>
      <w:r w:rsidR="00E65029">
        <w:t>Turnbull et al., 2009). This would en</w:t>
      </w:r>
      <w:r w:rsidR="00BA3605">
        <w:t xml:space="preserve">sure </w:t>
      </w:r>
      <w:r w:rsidR="00E65029">
        <w:t xml:space="preserve">AHAs </w:t>
      </w:r>
      <w:r w:rsidR="00BA3605">
        <w:t xml:space="preserve">are </w:t>
      </w:r>
      <w:r w:rsidR="00E65029">
        <w:t>integrated into teams with their supervising AHPs to meet the current and future healthcare needs of the broader population in an efficient and sustainable manner (Somerville et al., 2017).</w:t>
      </w:r>
    </w:p>
    <w:p w14:paraId="690A5B66" w14:textId="77777777" w:rsidR="00B42684" w:rsidRDefault="00B42684">
      <w:pPr>
        <w:spacing w:line="480" w:lineRule="auto"/>
      </w:pPr>
    </w:p>
    <w:p w14:paraId="4D6152A3" w14:textId="28E8C946" w:rsidR="00DE2AC2" w:rsidRDefault="00164222">
      <w:pPr>
        <w:spacing w:line="480" w:lineRule="auto"/>
      </w:pPr>
      <w:r>
        <w:t xml:space="preserve">Requirements for formal training are likely to translate to expectations of higher wages (Tache and Chapman, 2006). </w:t>
      </w:r>
      <w:r w:rsidR="00DE2AC2">
        <w:t>Th</w:t>
      </w:r>
      <w:r>
        <w:t xml:space="preserve">is could be problematic for AHAs in Australia. </w:t>
      </w:r>
      <w:r w:rsidR="00DE2AC2">
        <w:t>The public sector wage structures for AHPs provide</w:t>
      </w:r>
      <w:r w:rsidR="0085675A">
        <w:t>s</w:t>
      </w:r>
      <w:r w:rsidR="00DE2AC2">
        <w:t xml:space="preserve"> little recognition of clinical experience or academic training (Turnbull et al, 2009). It is unlikely that this would change for AHAs if they had </w:t>
      </w:r>
      <w:r>
        <w:t xml:space="preserve">higher levels of </w:t>
      </w:r>
      <w:r w:rsidR="00DE2AC2">
        <w:t xml:space="preserve">formal education. </w:t>
      </w:r>
    </w:p>
    <w:p w14:paraId="6CB6433F" w14:textId="77777777" w:rsidR="005F66D6" w:rsidRDefault="005F66D6">
      <w:pPr>
        <w:spacing w:line="480" w:lineRule="auto"/>
      </w:pPr>
    </w:p>
    <w:p w14:paraId="29AC1759" w14:textId="273EB18A" w:rsidR="00DE2AC2" w:rsidRPr="0001374B" w:rsidRDefault="005F66D6">
      <w:pPr>
        <w:spacing w:line="480" w:lineRule="auto"/>
        <w:rPr>
          <w:b/>
          <w:i/>
        </w:rPr>
      </w:pPr>
      <w:r w:rsidRPr="0001374B">
        <w:rPr>
          <w:b/>
          <w:i/>
        </w:rPr>
        <w:t>Limitations and Recommendations</w:t>
      </w:r>
    </w:p>
    <w:p w14:paraId="4A088CE5" w14:textId="61F77D11" w:rsidR="00312771" w:rsidRDefault="00540391">
      <w:pPr>
        <w:spacing w:line="480" w:lineRule="auto"/>
      </w:pPr>
      <w:r>
        <w:t>A major l</w:t>
      </w:r>
      <w:r w:rsidR="007E706B">
        <w:t>imitation</w:t>
      </w:r>
      <w:r>
        <w:t xml:space="preserve"> of </w:t>
      </w:r>
      <w:r w:rsidR="005F66D6">
        <w:t xml:space="preserve">this study </w:t>
      </w:r>
      <w:r>
        <w:t xml:space="preserve">was its small convenience sample, which </w:t>
      </w:r>
      <w:r w:rsidR="007E706B">
        <w:t>may limit the applicability of reported result</w:t>
      </w:r>
      <w:r w:rsidR="0085675A">
        <w:t>s</w:t>
      </w:r>
      <w:r>
        <w:t xml:space="preserve"> to other locations and health</w:t>
      </w:r>
      <w:r w:rsidR="008560BC">
        <w:t xml:space="preserve"> settings</w:t>
      </w:r>
      <w:r w:rsidR="007E706B">
        <w:t xml:space="preserve">. </w:t>
      </w:r>
      <w:r w:rsidR="0085675A">
        <w:t>Further, the direct perspectives of AHAs were not included in this study. The inclusion of AHAs is recommended in future studies.</w:t>
      </w:r>
    </w:p>
    <w:p w14:paraId="451205AF" w14:textId="77777777" w:rsidR="004F59F5" w:rsidRDefault="004F59F5" w:rsidP="00646504">
      <w:pPr>
        <w:spacing w:line="480" w:lineRule="auto"/>
      </w:pPr>
    </w:p>
    <w:p w14:paraId="5F70D1E8" w14:textId="24D443D1" w:rsidR="004F59F5" w:rsidRDefault="004F59F5" w:rsidP="00646504">
      <w:pPr>
        <w:spacing w:line="480" w:lineRule="auto"/>
      </w:pPr>
      <w:r>
        <w:t xml:space="preserve">Future recommendations for the education of AHAs should include the </w:t>
      </w:r>
      <w:r w:rsidR="003542A6">
        <w:t xml:space="preserve">development of clear training pathways which are </w:t>
      </w:r>
      <w:r>
        <w:t>integrat</w:t>
      </w:r>
      <w:r w:rsidR="003542A6">
        <w:t xml:space="preserve">ed across </w:t>
      </w:r>
      <w:r>
        <w:t xml:space="preserve">vocational </w:t>
      </w:r>
      <w:r w:rsidR="003542A6">
        <w:t xml:space="preserve">training </w:t>
      </w:r>
      <w:r>
        <w:t xml:space="preserve">and workplace </w:t>
      </w:r>
      <w:r w:rsidR="0001374B">
        <w:t xml:space="preserve">environments. </w:t>
      </w:r>
      <w:r w:rsidR="003542A6">
        <w:t xml:space="preserve">Training should complement workplace learning and development, within a broader </w:t>
      </w:r>
      <w:r w:rsidR="00E65029">
        <w:t xml:space="preserve">professional support framework </w:t>
      </w:r>
      <w:r>
        <w:t>(Turnbull et al</w:t>
      </w:r>
      <w:r w:rsidR="00BF2D23">
        <w:t>.</w:t>
      </w:r>
      <w:r>
        <w:t>, 2009</w:t>
      </w:r>
      <w:r w:rsidR="003542A6">
        <w:t>; Somerville at al., 2017</w:t>
      </w:r>
      <w:r>
        <w:t xml:space="preserve">). </w:t>
      </w:r>
      <w:r w:rsidR="003542A6">
        <w:t xml:space="preserve"> </w:t>
      </w:r>
      <w:r w:rsidR="005F66D6">
        <w:t>Authentic engagement in</w:t>
      </w:r>
      <w:r w:rsidR="0085675A">
        <w:t xml:space="preserve">, </w:t>
      </w:r>
      <w:r w:rsidR="005F66D6">
        <w:t xml:space="preserve">and </w:t>
      </w:r>
      <w:r w:rsidR="007E26C4">
        <w:t>learning</w:t>
      </w:r>
      <w:r w:rsidR="005F66D6">
        <w:t xml:space="preserve"> through</w:t>
      </w:r>
      <w:r w:rsidR="0085675A">
        <w:t>,</w:t>
      </w:r>
      <w:r w:rsidR="005F66D6">
        <w:t xml:space="preserve"> consistent </w:t>
      </w:r>
      <w:r w:rsidR="007E26C4">
        <w:t>workplace practices c</w:t>
      </w:r>
      <w:r w:rsidR="0085675A">
        <w:t>ould</w:t>
      </w:r>
      <w:r w:rsidR="007E26C4">
        <w:t xml:space="preserve"> also </w:t>
      </w:r>
      <w:r w:rsidR="007E26C4">
        <w:lastRenderedPageBreak/>
        <w:t xml:space="preserve">serve to embed a consistent identity and role expectations (Billett &amp; Somerville, 2004).  </w:t>
      </w:r>
      <w:r w:rsidR="003542A6">
        <w:t>It will be important to monitor AHPs</w:t>
      </w:r>
      <w:r w:rsidR="0085675A">
        <w:t>’</w:t>
      </w:r>
      <w:r w:rsidR="003542A6">
        <w:t xml:space="preserve"> skills and confidence in delegating to AHAs and monitor their satisfaction with working with AHAs as potential outcomes of an effective educational system (Somerville et al., 2017). </w:t>
      </w:r>
    </w:p>
    <w:p w14:paraId="06318821" w14:textId="77777777" w:rsidR="004F59F5" w:rsidRDefault="004F59F5" w:rsidP="00646504">
      <w:pPr>
        <w:spacing w:line="480" w:lineRule="auto"/>
      </w:pPr>
    </w:p>
    <w:p w14:paraId="4475A318" w14:textId="77777777" w:rsidR="0000551E" w:rsidRPr="007E5FE3" w:rsidRDefault="0000551E" w:rsidP="00646504">
      <w:pPr>
        <w:pStyle w:val="Heading1"/>
        <w:spacing w:line="480" w:lineRule="auto"/>
      </w:pPr>
      <w:r>
        <w:t>Conclusion</w:t>
      </w:r>
    </w:p>
    <w:p w14:paraId="6FFEB53E" w14:textId="1E5CE27E" w:rsidR="0000551E" w:rsidRDefault="007F3735" w:rsidP="00C666F4">
      <w:pPr>
        <w:spacing w:line="480" w:lineRule="auto"/>
        <w:rPr>
          <w:rFonts w:ascii="Times New Roman" w:hAnsi="Times New Roman" w:cs="Times New Roman"/>
        </w:rPr>
      </w:pPr>
      <w:r w:rsidRPr="00EF29CE">
        <w:t xml:space="preserve">Despite </w:t>
      </w:r>
      <w:r>
        <w:t xml:space="preserve">the potential for </w:t>
      </w:r>
      <w:r w:rsidRPr="00EF29CE">
        <w:t xml:space="preserve">AHAs to release time for professionals to fulfil and extend their scope </w:t>
      </w:r>
      <w:r>
        <w:t>o</w:t>
      </w:r>
      <w:r w:rsidRPr="00EF29CE">
        <w:t>f practice, there are workforce concerns about a lack of consistent roles and expectations, coupled with limited delegation capability by professionals.</w:t>
      </w:r>
      <w:r>
        <w:t xml:space="preserve"> </w:t>
      </w:r>
      <w:r w:rsidR="007E26C4">
        <w:t>The c</w:t>
      </w:r>
      <w:r>
        <w:t xml:space="preserve">urrent </w:t>
      </w:r>
      <w:r w:rsidR="007E26C4">
        <w:t xml:space="preserve">diversity and consequent </w:t>
      </w:r>
      <w:r>
        <w:t xml:space="preserve">inconsistencies </w:t>
      </w:r>
      <w:r w:rsidRPr="007F3735">
        <w:t>in</w:t>
      </w:r>
      <w:r>
        <w:t xml:space="preserve"> AHA </w:t>
      </w:r>
      <w:r w:rsidRPr="007F3735">
        <w:t xml:space="preserve">roles, capabilities and expectations </w:t>
      </w:r>
      <w:r>
        <w:t xml:space="preserve">have limited their </w:t>
      </w:r>
      <w:r w:rsidRPr="007F3735">
        <w:t>contribution</w:t>
      </w:r>
      <w:r>
        <w:t xml:space="preserve"> to</w:t>
      </w:r>
      <w:r w:rsidR="00220DDF">
        <w:t>,</w:t>
      </w:r>
      <w:r>
        <w:t xml:space="preserve"> </w:t>
      </w:r>
      <w:r w:rsidRPr="007F3735">
        <w:t>and perceived value</w:t>
      </w:r>
      <w:r w:rsidR="00220DDF">
        <w:t>,</w:t>
      </w:r>
      <w:r w:rsidRPr="007F3735">
        <w:t xml:space="preserve"> within the workplace. </w:t>
      </w:r>
      <w:r>
        <w:t>Concurrently</w:t>
      </w:r>
      <w:r w:rsidRPr="007F3735">
        <w:t xml:space="preserve">, inconsistent </w:t>
      </w:r>
      <w:r>
        <w:t>educational requirements have reinforce</w:t>
      </w:r>
      <w:r w:rsidR="005E5DE8">
        <w:t>d</w:t>
      </w:r>
      <w:r>
        <w:t xml:space="preserve"> local variations in skills and practical training. </w:t>
      </w:r>
      <w:r w:rsidR="00220DDF">
        <w:t xml:space="preserve">In this study, there appeared to be no </w:t>
      </w:r>
      <w:r w:rsidRPr="007F3735">
        <w:t xml:space="preserve">support for university educational pathways for the health assistant workforce. </w:t>
      </w:r>
      <w:r>
        <w:t>T</w:t>
      </w:r>
      <w:r w:rsidRPr="007F3735">
        <w:t xml:space="preserve">he high costs of university education are unlikely to </w:t>
      </w:r>
      <w:r>
        <w:t xml:space="preserve">be supported by employers, and universities are unlikely to be able to deliver </w:t>
      </w:r>
      <w:r w:rsidRPr="007F3735">
        <w:t xml:space="preserve">the high levels of practical training and support that AHAs require in local clinical settings. </w:t>
      </w:r>
      <w:r>
        <w:t>Instead, integrated educational pathways across vocational training and workplace environments</w:t>
      </w:r>
      <w:r w:rsidR="00220DDF">
        <w:t xml:space="preserve"> may be more valuable for </w:t>
      </w:r>
      <w:r w:rsidR="0001374B">
        <w:t xml:space="preserve">AHAs. </w:t>
      </w:r>
      <w:r>
        <w:rPr>
          <w:rFonts w:ascii="Times New Roman" w:hAnsi="Times New Roman" w:cs="Times New Roman"/>
        </w:rPr>
        <w:t xml:space="preserve">Continued workforce design is required to align assistant and professional roles and expectations. </w:t>
      </w:r>
    </w:p>
    <w:p w14:paraId="197C1073" w14:textId="77777777" w:rsidR="0000551E" w:rsidRDefault="0000551E">
      <w:pPr>
        <w:spacing w:after="240" w:line="480" w:lineRule="auto"/>
        <w:jc w:val="both"/>
      </w:pPr>
    </w:p>
    <w:p w14:paraId="478FC83F" w14:textId="77777777" w:rsidR="0000551E" w:rsidRPr="00C9122E" w:rsidRDefault="0000551E">
      <w:pPr>
        <w:spacing w:after="240" w:line="480" w:lineRule="auto"/>
        <w:jc w:val="both"/>
        <w:rPr>
          <w:b/>
        </w:rPr>
      </w:pPr>
      <w:r w:rsidRPr="00C9122E">
        <w:rPr>
          <w:b/>
        </w:rPr>
        <w:t>Acknowledgements</w:t>
      </w:r>
    </w:p>
    <w:p w14:paraId="7201E2C3" w14:textId="77777777" w:rsidR="0000551E" w:rsidRDefault="0000551E">
      <w:pPr>
        <w:spacing w:after="240" w:line="480" w:lineRule="auto"/>
        <w:jc w:val="both"/>
        <w:rPr>
          <w:rFonts w:ascii="Times New Roman" w:eastAsiaTheme="majorEastAsia" w:hAnsi="Times New Roman"/>
          <w:b/>
          <w:bCs/>
          <w:sz w:val="28"/>
          <w:szCs w:val="28"/>
        </w:rPr>
      </w:pPr>
      <w:r>
        <w:t>We would like to thank all participants for their time and valuable insights.</w:t>
      </w:r>
      <w:r>
        <w:br w:type="page"/>
      </w:r>
    </w:p>
    <w:p w14:paraId="4D6556CA" w14:textId="77777777" w:rsidR="0000551E" w:rsidRDefault="0000551E" w:rsidP="00646504">
      <w:pPr>
        <w:pStyle w:val="Heading1"/>
      </w:pPr>
      <w:r>
        <w:lastRenderedPageBreak/>
        <w:t>References</w:t>
      </w:r>
    </w:p>
    <w:p w14:paraId="77994206" w14:textId="77777777" w:rsidR="007E26C4" w:rsidRDefault="007E26C4" w:rsidP="00646504">
      <w:pPr>
        <w:pStyle w:val="EndNoteBibliography"/>
        <w:spacing w:after="0"/>
        <w:ind w:left="720" w:hanging="720"/>
      </w:pPr>
    </w:p>
    <w:p w14:paraId="4D86DC09" w14:textId="6E59EF79" w:rsidR="007E26C4" w:rsidRDefault="007E26C4" w:rsidP="00646504">
      <w:pPr>
        <w:pStyle w:val="EndNoteBibliography"/>
        <w:spacing w:after="0"/>
        <w:ind w:left="720" w:hanging="720"/>
      </w:pPr>
      <w:r>
        <w:t xml:space="preserve">Billett, S. &amp; Somerville, M. (2004). Transformations at work: identity and learning. </w:t>
      </w:r>
      <w:r w:rsidRPr="0001374B">
        <w:rPr>
          <w:i/>
        </w:rPr>
        <w:t>Studies in Continuing Education,</w:t>
      </w:r>
      <w:r w:rsidRPr="007E26C4">
        <w:t xml:space="preserve"> 2</w:t>
      </w:r>
      <w:r>
        <w:t>6:2, 309-326. doi</w:t>
      </w:r>
      <w:r w:rsidRPr="007E26C4">
        <w:t>: 10.1080/158037042000225272</w:t>
      </w:r>
    </w:p>
    <w:p w14:paraId="43BF5847" w14:textId="77777777" w:rsidR="0000551E" w:rsidRPr="00C9122E" w:rsidRDefault="0000551E" w:rsidP="00646504">
      <w:pPr>
        <w:pStyle w:val="EndNoteBibliography"/>
        <w:spacing w:after="0"/>
        <w:ind w:left="720" w:hanging="720"/>
      </w:pPr>
      <w:r w:rsidRPr="00C9122E">
        <w:t xml:space="preserve">Castro, F. G., Kellison, J. G., Boyd, S. J., &amp; Kopak, A. (2010). A Methodology for Conducting Integrative Mixed Methods Research and Data Analyses. </w:t>
      </w:r>
      <w:r w:rsidRPr="00C9122E">
        <w:rPr>
          <w:i/>
        </w:rPr>
        <w:t>Journal of Mixed Methods Research, 4</w:t>
      </w:r>
      <w:r w:rsidRPr="00C9122E">
        <w:t>(4), 342-360. doi:10.1177/1558689810382916</w:t>
      </w:r>
    </w:p>
    <w:p w14:paraId="1EAA6DEB" w14:textId="77777777" w:rsidR="007F3735" w:rsidRDefault="007F3735" w:rsidP="00646504">
      <w:pPr>
        <w:pStyle w:val="EndNoteBibliography"/>
        <w:spacing w:after="0"/>
        <w:ind w:left="720" w:hanging="720"/>
      </w:pPr>
      <w:r>
        <w:t xml:space="preserve">Duckett, S.J. (2005) Interventions to facoilitate health workforce restructure. </w:t>
      </w:r>
      <w:r w:rsidRPr="0001374B">
        <w:rPr>
          <w:i/>
        </w:rPr>
        <w:t>Australia and New Zealand Health Policy</w:t>
      </w:r>
      <w:r>
        <w:t>, 2:14.</w:t>
      </w:r>
    </w:p>
    <w:p w14:paraId="0B4786D9" w14:textId="77777777" w:rsidR="0000551E" w:rsidRPr="00C9122E" w:rsidRDefault="0000551E" w:rsidP="00646504">
      <w:pPr>
        <w:pStyle w:val="EndNoteBibliography"/>
        <w:spacing w:after="0"/>
        <w:ind w:left="720" w:hanging="720"/>
      </w:pPr>
      <w:r w:rsidRPr="00C9122E">
        <w:t xml:space="preserve">Eisner, E. W. (1998). </w:t>
      </w:r>
      <w:r w:rsidRPr="00C9122E">
        <w:rPr>
          <w:i/>
        </w:rPr>
        <w:t>The enlightened eye: Qualitative enquiry and the enhancement of educational practice</w:t>
      </w:r>
      <w:r w:rsidRPr="00C9122E">
        <w:t>. Upper Saddle River NJ: Prentice-Hall.</w:t>
      </w:r>
    </w:p>
    <w:p w14:paraId="2A371F0C" w14:textId="425CB397" w:rsidR="00985AEB" w:rsidRPr="00985AEB" w:rsidRDefault="00985AEB" w:rsidP="00646504">
      <w:pPr>
        <w:pStyle w:val="EndNoteBibliography"/>
        <w:spacing w:after="0"/>
        <w:ind w:left="720" w:hanging="720"/>
      </w:pPr>
      <w:r w:rsidRPr="0001374B">
        <w:rPr>
          <w:color w:val="222222"/>
          <w:shd w:val="clear" w:color="auto" w:fill="FFFFFF"/>
        </w:rPr>
        <w:t>Fylan, F. (2005). Semi-structured interviewing. </w:t>
      </w:r>
      <w:r w:rsidRPr="0001374B">
        <w:rPr>
          <w:i/>
          <w:iCs/>
          <w:color w:val="222222"/>
          <w:shd w:val="clear" w:color="auto" w:fill="FFFFFF"/>
        </w:rPr>
        <w:t>A handbook of research methods for clinical and health psychology</w:t>
      </w:r>
      <w:r w:rsidRPr="0001374B">
        <w:rPr>
          <w:color w:val="222222"/>
          <w:shd w:val="clear" w:color="auto" w:fill="FFFFFF"/>
        </w:rPr>
        <w:t>, 65-78.</w:t>
      </w:r>
    </w:p>
    <w:p w14:paraId="520CE854" w14:textId="77777777" w:rsidR="0000551E" w:rsidRPr="00C9122E" w:rsidRDefault="0000551E" w:rsidP="00646504">
      <w:pPr>
        <w:pStyle w:val="EndNoteBibliography"/>
        <w:spacing w:after="0"/>
        <w:ind w:left="720" w:hanging="720"/>
      </w:pPr>
      <w:r w:rsidRPr="00C9122E">
        <w:t xml:space="preserve">Lizarondo, L., Kumar, S., Hyde, L., &amp; Skidmore, D. (2010). Allied health assistants and what they do: a systematic review of the literature. </w:t>
      </w:r>
      <w:r w:rsidRPr="00C9122E">
        <w:rPr>
          <w:i/>
        </w:rPr>
        <w:t>Journal of Multidisciplinary Healthcare, 3</w:t>
      </w:r>
      <w:r w:rsidRPr="00C9122E">
        <w:t xml:space="preserve">, 143. </w:t>
      </w:r>
    </w:p>
    <w:p w14:paraId="5439D2E1" w14:textId="77777777" w:rsidR="0000551E" w:rsidRPr="00C9122E" w:rsidRDefault="0000551E" w:rsidP="00646504">
      <w:pPr>
        <w:pStyle w:val="EndNoteBibliography"/>
        <w:spacing w:after="0"/>
        <w:ind w:left="720" w:hanging="720"/>
      </w:pPr>
      <w:r w:rsidRPr="00C9122E">
        <w:t xml:space="preserve">Nancarrow, S. A., &amp; Borthwick, A. M. (2005). Dynamic professional boundaries in the healthcare workforce. </w:t>
      </w:r>
      <w:r w:rsidRPr="00C9122E">
        <w:rPr>
          <w:i/>
        </w:rPr>
        <w:t>Sociology of Health &amp; Illness, 27</w:t>
      </w:r>
      <w:r w:rsidRPr="00C9122E">
        <w:t>(7), 897-919. doi:10.1111/j.1467-9566.2005.00463.x</w:t>
      </w:r>
    </w:p>
    <w:p w14:paraId="495BDEF3" w14:textId="77777777" w:rsidR="0000551E" w:rsidRPr="00C9122E" w:rsidRDefault="0000551E" w:rsidP="00646504">
      <w:pPr>
        <w:pStyle w:val="EndNoteBibliography"/>
        <w:spacing w:after="0"/>
        <w:ind w:left="720" w:hanging="720"/>
      </w:pPr>
      <w:r w:rsidRPr="00C9122E">
        <w:t xml:space="preserve">Nancarrow, S. A., Roots, A., Grace, S., Moran, A. M., &amp; Vanniekerk-Lyons, K. (2013). Implementing large-scale workforce change: learning from 55 pilot sites of allied health workforce redesign in Queensland, Australia. </w:t>
      </w:r>
      <w:r w:rsidRPr="00C9122E">
        <w:rPr>
          <w:i/>
        </w:rPr>
        <w:t>Human resources for health, 11</w:t>
      </w:r>
      <w:r w:rsidRPr="00C9122E">
        <w:t xml:space="preserve">(1), 66. </w:t>
      </w:r>
    </w:p>
    <w:p w14:paraId="6484E89E" w14:textId="77777777" w:rsidR="00543EF4" w:rsidRDefault="00543EF4" w:rsidP="00646504">
      <w:pPr>
        <w:pStyle w:val="EndNoteBibliography"/>
        <w:spacing w:after="0"/>
        <w:ind w:left="720" w:hanging="720"/>
      </w:pPr>
      <w:r w:rsidRPr="00543EF4">
        <w:t xml:space="preserve">O’Brien, R., Byrne, N., Mitchell, R., &amp; Ferguson, A. (2013). Rural speech-language pathologists’ perceptions of working with allied health assistants. </w:t>
      </w:r>
      <w:r w:rsidRPr="0001374B">
        <w:rPr>
          <w:i/>
        </w:rPr>
        <w:t xml:space="preserve">International </w:t>
      </w:r>
      <w:r w:rsidR="007F3735" w:rsidRPr="007F3735">
        <w:rPr>
          <w:i/>
        </w:rPr>
        <w:t xml:space="preserve">Journal of </w:t>
      </w:r>
      <w:r w:rsidR="007F3735">
        <w:rPr>
          <w:i/>
        </w:rPr>
        <w:t>S</w:t>
      </w:r>
      <w:r w:rsidRPr="0001374B">
        <w:rPr>
          <w:i/>
        </w:rPr>
        <w:t>peech-language</w:t>
      </w:r>
      <w:r w:rsidR="007F3735">
        <w:rPr>
          <w:i/>
        </w:rPr>
        <w:t xml:space="preserve"> P</w:t>
      </w:r>
      <w:r w:rsidRPr="0001374B">
        <w:rPr>
          <w:i/>
        </w:rPr>
        <w:t>athology,</w:t>
      </w:r>
      <w:r w:rsidRPr="00543EF4">
        <w:t xml:space="preserve"> 15(6), 613-622.</w:t>
      </w:r>
    </w:p>
    <w:p w14:paraId="59DCD528" w14:textId="77777777" w:rsidR="0000551E" w:rsidRPr="00C9122E" w:rsidRDefault="0000551E" w:rsidP="00646504">
      <w:pPr>
        <w:pStyle w:val="EndNoteBibliography"/>
        <w:spacing w:after="0"/>
        <w:ind w:left="720" w:hanging="720"/>
      </w:pPr>
      <w:r w:rsidRPr="00C9122E">
        <w:t xml:space="preserve">Pearce, C., &amp; Pagett, L. (2015). Advanced allied health assistants: an emerging workforce. </w:t>
      </w:r>
      <w:r w:rsidRPr="00C9122E">
        <w:rPr>
          <w:i/>
        </w:rPr>
        <w:t>Australian Health Review, 39</w:t>
      </w:r>
      <w:r w:rsidRPr="00C9122E">
        <w:t>(3), 260-263. doi:</w:t>
      </w:r>
      <w:r w:rsidRPr="0000551E">
        <w:t>https://doi.org/10.1071/AH14253</w:t>
      </w:r>
    </w:p>
    <w:p w14:paraId="07EA3E9E" w14:textId="77777777" w:rsidR="00543EF4" w:rsidRDefault="00543EF4" w:rsidP="00646504">
      <w:pPr>
        <w:pStyle w:val="EndNoteBibliography"/>
        <w:spacing w:after="0"/>
        <w:ind w:left="720" w:hanging="720"/>
      </w:pPr>
      <w:r w:rsidRPr="00543EF4">
        <w:t xml:space="preserve">Somerville, L., Davis, A., Milne, S., Terrill, D., &amp; Philip, K. (2017). Exploration of an allied health workforce redesign model: quantifying the work of allied health assistants in a community workforce. </w:t>
      </w:r>
      <w:r w:rsidRPr="0001374B">
        <w:rPr>
          <w:i/>
        </w:rPr>
        <w:t>Australian Health Review</w:t>
      </w:r>
      <w:r w:rsidRPr="00543EF4">
        <w:t>. Doi: 10.1071/AH16266</w:t>
      </w:r>
    </w:p>
    <w:p w14:paraId="4070FA22" w14:textId="77777777" w:rsidR="0000551E" w:rsidRPr="00C9122E" w:rsidRDefault="0000551E" w:rsidP="00646504">
      <w:pPr>
        <w:pStyle w:val="EndNoteBibliography"/>
        <w:spacing w:after="0"/>
        <w:ind w:left="720" w:hanging="720"/>
      </w:pPr>
      <w:r w:rsidRPr="00C9122E">
        <w:t xml:space="preserve">Somerville, L., Davis, A., Elliott, A. L., Terrill, D., Austin, N., &amp; Philip, K. (2015). Building allied health workforce capacity: a strategic approach to workforce innovation. </w:t>
      </w:r>
      <w:r w:rsidRPr="00C9122E">
        <w:rPr>
          <w:i/>
        </w:rPr>
        <w:t>Australian Health Review, 39</w:t>
      </w:r>
      <w:r w:rsidRPr="00C9122E">
        <w:t>(3), 264-270. doi:</w:t>
      </w:r>
      <w:r w:rsidRPr="0000551E">
        <w:t>https://doi.org/10.1071/AH14211</w:t>
      </w:r>
    </w:p>
    <w:p w14:paraId="4938AFCF" w14:textId="77777777" w:rsidR="0000551E" w:rsidRPr="00C9122E" w:rsidRDefault="0000551E" w:rsidP="00646504">
      <w:pPr>
        <w:pStyle w:val="EndNoteBibliography"/>
        <w:spacing w:after="0"/>
        <w:ind w:left="720" w:hanging="720"/>
      </w:pPr>
      <w:r w:rsidRPr="00C9122E">
        <w:t xml:space="preserve">Stanhope, J., &amp; Pearce, C. (2013). Role, implementation, and effectiveness of advanced allied health assistants: a systematic review. </w:t>
      </w:r>
      <w:r w:rsidRPr="00C9122E">
        <w:rPr>
          <w:i/>
        </w:rPr>
        <w:t>Journal of Multidisciplinary Healthcare, 6</w:t>
      </w:r>
      <w:r w:rsidRPr="00C9122E">
        <w:t>, 423-434. doi:10.2147/JMDH.S50185</w:t>
      </w:r>
    </w:p>
    <w:p w14:paraId="1EBD80A7" w14:textId="77777777" w:rsidR="00543EF4" w:rsidRDefault="00543EF4" w:rsidP="00646504">
      <w:pPr>
        <w:pStyle w:val="EndNoteBibliography"/>
        <w:spacing w:after="0"/>
        <w:ind w:left="720" w:hanging="720"/>
      </w:pPr>
      <w:r w:rsidRPr="00543EF4">
        <w:t xml:space="preserve">Stute, M., Hurwood, A., Hulcombe, J., &amp; Kuipers, P. (2014). Pilot implementation of allied health assistant roles within publicly funded health services in Queensland, Australia: results of a workplace audit. </w:t>
      </w:r>
      <w:r w:rsidR="007F3735" w:rsidRPr="007F3735">
        <w:rPr>
          <w:i/>
        </w:rPr>
        <w:t>BMC Health Services R</w:t>
      </w:r>
      <w:r w:rsidRPr="0001374B">
        <w:rPr>
          <w:i/>
        </w:rPr>
        <w:t>esearch</w:t>
      </w:r>
      <w:r w:rsidRPr="00543EF4">
        <w:t>, 14(1), 258.</w:t>
      </w:r>
    </w:p>
    <w:p w14:paraId="66FD4216" w14:textId="77777777" w:rsidR="0000551E" w:rsidRPr="00C9122E" w:rsidRDefault="0000551E" w:rsidP="00646504">
      <w:pPr>
        <w:pStyle w:val="EndNoteBibliography"/>
        <w:spacing w:after="0"/>
        <w:ind w:left="720" w:hanging="720"/>
      </w:pPr>
      <w:r w:rsidRPr="00C9122E">
        <w:t xml:space="preserve">Stute, M., Hurwood, A., Hulcombe, J., &amp; Kuipers, P. (2013). Defining the role and scope of practice of allied health assistants within Queensland public health services. </w:t>
      </w:r>
      <w:r w:rsidRPr="00C9122E">
        <w:rPr>
          <w:i/>
        </w:rPr>
        <w:t>Australian Health Review, 37</w:t>
      </w:r>
      <w:r w:rsidRPr="00C9122E">
        <w:t>(5), 602-606. doi:</w:t>
      </w:r>
      <w:r w:rsidRPr="0000551E">
        <w:t>https://doi.org/10.1071/AH13042</w:t>
      </w:r>
    </w:p>
    <w:p w14:paraId="1CDD2168" w14:textId="77777777" w:rsidR="00B3377F" w:rsidRDefault="00B3377F" w:rsidP="00646504">
      <w:pPr>
        <w:pStyle w:val="EndNoteBibliography"/>
        <w:ind w:left="720" w:hanging="720"/>
      </w:pPr>
      <w:r w:rsidRPr="00B3377F">
        <w:lastRenderedPageBreak/>
        <w:t xml:space="preserve">Taché, S., &amp; Chapman, S. (2006). The expanding roles and occupational characteristics of medical assistants: overview of an emerging field in allied health. </w:t>
      </w:r>
      <w:r w:rsidRPr="0001374B">
        <w:rPr>
          <w:i/>
        </w:rPr>
        <w:t xml:space="preserve">Journal of </w:t>
      </w:r>
      <w:r w:rsidR="007F3735">
        <w:rPr>
          <w:i/>
        </w:rPr>
        <w:t>A</w:t>
      </w:r>
      <w:r w:rsidRPr="0001374B">
        <w:rPr>
          <w:i/>
        </w:rPr>
        <w:t xml:space="preserve">llied </w:t>
      </w:r>
      <w:r w:rsidR="007F3735">
        <w:rPr>
          <w:i/>
        </w:rPr>
        <w:t>H</w:t>
      </w:r>
      <w:r w:rsidRPr="0001374B">
        <w:rPr>
          <w:i/>
        </w:rPr>
        <w:t>ealth,</w:t>
      </w:r>
      <w:r w:rsidRPr="00B3377F">
        <w:t xml:space="preserve"> 35(4), 233-237.</w:t>
      </w:r>
    </w:p>
    <w:p w14:paraId="6A575D55" w14:textId="77777777" w:rsidR="00B3377F" w:rsidRDefault="00543EF4" w:rsidP="00646504">
      <w:pPr>
        <w:pStyle w:val="EndNoteBibliography"/>
        <w:ind w:left="720" w:hanging="720"/>
      </w:pPr>
      <w:r w:rsidRPr="00543EF4">
        <w:t xml:space="preserve">Turnbull, C., Grimmer-Somers, K., Kumar, S., May, E., Law, D., &amp; Ashworth, E. (2009). Allied, scientific and complementary health professionals: a new model for Australian allied health. </w:t>
      </w:r>
      <w:r w:rsidR="007F3735" w:rsidRPr="007F3735">
        <w:rPr>
          <w:i/>
        </w:rPr>
        <w:t>Australian Health R</w:t>
      </w:r>
      <w:r w:rsidRPr="0001374B">
        <w:rPr>
          <w:i/>
        </w:rPr>
        <w:t>eview</w:t>
      </w:r>
      <w:r w:rsidRPr="00543EF4">
        <w:t>, 33(1), 27-37.</w:t>
      </w:r>
    </w:p>
    <w:p w14:paraId="34A47BD1" w14:textId="77777777" w:rsidR="0000551E" w:rsidRPr="00C9122E" w:rsidRDefault="0000551E" w:rsidP="00646504">
      <w:pPr>
        <w:pStyle w:val="EndNoteBibliography"/>
        <w:ind w:left="720" w:hanging="720"/>
      </w:pPr>
      <w:r w:rsidRPr="00C9122E">
        <w:t xml:space="preserve">Wallace, S. (2016). Comment on ‘Building allied health workforce capacity: a strategic approach to workforce innovation’. </w:t>
      </w:r>
      <w:r w:rsidRPr="00C9122E">
        <w:rPr>
          <w:i/>
        </w:rPr>
        <w:t>Australian Health Review, 40</w:t>
      </w:r>
      <w:r w:rsidRPr="00C9122E">
        <w:t>(4), 473-473. doi:</w:t>
      </w:r>
      <w:r w:rsidRPr="0000551E">
        <w:t>https://doi.org/10.1071/AH15176</w:t>
      </w:r>
    </w:p>
    <w:p w14:paraId="252ED705" w14:textId="77777777" w:rsidR="0000551E" w:rsidRDefault="0000551E" w:rsidP="00646504">
      <w:pPr>
        <w:spacing w:line="360" w:lineRule="auto"/>
      </w:pPr>
    </w:p>
    <w:p w14:paraId="10FBA958" w14:textId="77777777" w:rsidR="0030723C" w:rsidRDefault="0030723C"/>
    <w:sectPr w:rsidR="0030723C" w:rsidSect="00646504">
      <w:headerReference w:type="default" r:id="rId9"/>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4D64A" w16cid:durableId="1F6C8EA9"/>
  <w16cid:commentId w16cid:paraId="7DE4E2E5" w16cid:durableId="1F6C8EAA"/>
  <w16cid:commentId w16cid:paraId="74451385" w16cid:durableId="1F6C8EAB"/>
  <w16cid:commentId w16cid:paraId="37E46513" w16cid:durableId="1F6C8EAC"/>
  <w16cid:commentId w16cid:paraId="64A85D6C" w16cid:durableId="1F6C8EAD"/>
  <w16cid:commentId w16cid:paraId="6B02A52E" w16cid:durableId="1F6C8EAE"/>
  <w16cid:commentId w16cid:paraId="3E7D2847" w16cid:durableId="1F6C8EAF"/>
  <w16cid:commentId w16cid:paraId="68FEB296" w16cid:durableId="1F6C8EB0"/>
  <w16cid:commentId w16cid:paraId="6B281009" w16cid:durableId="1F6C8EB1"/>
  <w16cid:commentId w16cid:paraId="611656DB" w16cid:durableId="1F6C8EB2"/>
  <w16cid:commentId w16cid:paraId="5B85904F" w16cid:durableId="1F6C8FB4"/>
  <w16cid:commentId w16cid:paraId="31282BC2" w16cid:durableId="1F6C8EB3"/>
  <w16cid:commentId w16cid:paraId="53F6E598" w16cid:durableId="1F6C8EB4"/>
  <w16cid:commentId w16cid:paraId="68038AE5" w16cid:durableId="1F6C8EB5"/>
  <w16cid:commentId w16cid:paraId="45E5AB77" w16cid:durableId="1F6C90E9"/>
  <w16cid:commentId w16cid:paraId="6D71413C" w16cid:durableId="1F6C8EB6"/>
  <w16cid:commentId w16cid:paraId="700505EC" w16cid:durableId="1F6C8EB7"/>
  <w16cid:commentId w16cid:paraId="4D2AB31C" w16cid:durableId="1F6C8EB8"/>
  <w16cid:commentId w16cid:paraId="7A6D2917" w16cid:durableId="1F6C8EB9"/>
  <w16cid:commentId w16cid:paraId="3861DB75" w16cid:durableId="1F6C8EBA"/>
  <w16cid:commentId w16cid:paraId="7EF9B130" w16cid:durableId="1F6C923D"/>
  <w16cid:commentId w16cid:paraId="023C318C" w16cid:durableId="1F6C8EBB"/>
  <w16cid:commentId w16cid:paraId="42E48AC4" w16cid:durableId="1F6C8EBC"/>
  <w16cid:commentId w16cid:paraId="1D579C2C" w16cid:durableId="1F6C8EBD"/>
  <w16cid:commentId w16cid:paraId="367942E2" w16cid:durableId="1F6C8EBE"/>
  <w16cid:commentId w16cid:paraId="00A09C14" w16cid:durableId="1F6C8EBF"/>
  <w16cid:commentId w16cid:paraId="3CB48946" w16cid:durableId="1F6C8EC0"/>
  <w16cid:commentId w16cid:paraId="43556F0E" w16cid:durableId="1F6C8EC1"/>
  <w16cid:commentId w16cid:paraId="35385021" w16cid:durableId="1F6C947F"/>
  <w16cid:commentId w16cid:paraId="295BDFAF" w16cid:durableId="1F6C8EC2"/>
  <w16cid:commentId w16cid:paraId="2F4DD3D3" w16cid:durableId="1F6C8EC3"/>
  <w16cid:commentId w16cid:paraId="2515342F" w16cid:durableId="1F6C8EC4"/>
  <w16cid:commentId w16cid:paraId="0F744FE4" w16cid:durableId="1F6C9470"/>
  <w16cid:commentId w16cid:paraId="38922642" w16cid:durableId="1F6C8EC5"/>
  <w16cid:commentId w16cid:paraId="0F04C07C" w16cid:durableId="1F6C8EC6"/>
  <w16cid:commentId w16cid:paraId="241D867D" w16cid:durableId="1F6C94F5"/>
  <w16cid:commentId w16cid:paraId="50DF5032" w16cid:durableId="1F6C8EC7"/>
  <w16cid:commentId w16cid:paraId="1939E7A7" w16cid:durableId="1F6C8EC8"/>
  <w16cid:commentId w16cid:paraId="6542AD29" w16cid:durableId="1F6C958E"/>
  <w16cid:commentId w16cid:paraId="0C6FBF4C" w16cid:durableId="1F6C8EC9"/>
  <w16cid:commentId w16cid:paraId="4F818502" w16cid:durableId="1F6C8ECA"/>
  <w16cid:commentId w16cid:paraId="5E7E653D" w16cid:durableId="1F6C8ECB"/>
  <w16cid:commentId w16cid:paraId="4E95F05D" w16cid:durableId="1F6C8ECC"/>
  <w16cid:commentId w16cid:paraId="6433D52B" w16cid:durableId="1F6C8ECD"/>
  <w16cid:commentId w16cid:paraId="54D04BF4" w16cid:durableId="1F6C8ECE"/>
  <w16cid:commentId w16cid:paraId="7D6CDC8D" w16cid:durableId="1F6C8ECF"/>
  <w16cid:commentId w16cid:paraId="136FFF22" w16cid:durableId="1F6C8ED0"/>
  <w16cid:commentId w16cid:paraId="1E283624" w16cid:durableId="1F6C8ED1"/>
  <w16cid:commentId w16cid:paraId="43ED2FF1" w16cid:durableId="1F6C8ED2"/>
  <w16cid:commentId w16cid:paraId="787AD18F" w16cid:durableId="1F6C8ED3"/>
  <w16cid:commentId w16cid:paraId="3EDD51D8" w16cid:durableId="1F6C8ED4"/>
  <w16cid:commentId w16cid:paraId="4FCAD1D0" w16cid:durableId="1F6C8ED5"/>
  <w16cid:commentId w16cid:paraId="24C3B3B1" w16cid:durableId="1F6C8ED6"/>
  <w16cid:commentId w16cid:paraId="4771CA3B" w16cid:durableId="1F6C9840"/>
  <w16cid:commentId w16cid:paraId="6A4D1112" w16cid:durableId="1F6C8ED7"/>
  <w16cid:commentId w16cid:paraId="6779F5ED" w16cid:durableId="1F6C8ED8"/>
  <w16cid:commentId w16cid:paraId="70B284EC" w16cid:durableId="1F6C8ED9"/>
  <w16cid:commentId w16cid:paraId="215D1EC3" w16cid:durableId="1F6C8EDA"/>
  <w16cid:commentId w16cid:paraId="30FD5554" w16cid:durableId="1F6C8EDB"/>
  <w16cid:commentId w16cid:paraId="229B534F" w16cid:durableId="1F6C8EDC"/>
  <w16cid:commentId w16cid:paraId="37FEA80C" w16cid:durableId="1F6C8EDD"/>
  <w16cid:commentId w16cid:paraId="60FD12D2" w16cid:durableId="1F6C8EDE"/>
  <w16cid:commentId w16cid:paraId="16EB6EFA" w16cid:durableId="1F6C8EDF"/>
  <w16cid:commentId w16cid:paraId="7852128E" w16cid:durableId="1F6C8EE0"/>
  <w16cid:commentId w16cid:paraId="7B9587AD" w16cid:durableId="1F6C99F5"/>
  <w16cid:commentId w16cid:paraId="5636E702" w16cid:durableId="1F6C8EE1"/>
  <w16cid:commentId w16cid:paraId="0FA6C1B7" w16cid:durableId="1F6C9A74"/>
  <w16cid:commentId w16cid:paraId="1FBBC77D" w16cid:durableId="1F6C8EE2"/>
  <w16cid:commentId w16cid:paraId="131FE6B2" w16cid:durableId="1F6C8EE3"/>
  <w16cid:commentId w16cid:paraId="2AFA6EEF" w16cid:durableId="1F6C8EE4"/>
  <w16cid:commentId w16cid:paraId="01B88A3A" w16cid:durableId="1F6C8EE5"/>
  <w16cid:commentId w16cid:paraId="61FE5219" w16cid:durableId="1F6C8EE6"/>
  <w16cid:commentId w16cid:paraId="7BC59874" w16cid:durableId="1F6C8EE7"/>
  <w16cid:commentId w16cid:paraId="59C33C42" w16cid:durableId="1F6C8EE8"/>
  <w16cid:commentId w16cid:paraId="560A07EF" w16cid:durableId="1F6C8EE9"/>
  <w16cid:commentId w16cid:paraId="16FC083A" w16cid:durableId="1F6C8E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00E69" w14:textId="77777777" w:rsidR="002D4F90" w:rsidRDefault="002D4F90">
      <w:pPr>
        <w:spacing w:before="0" w:after="0"/>
      </w:pPr>
      <w:r>
        <w:separator/>
      </w:r>
    </w:p>
  </w:endnote>
  <w:endnote w:type="continuationSeparator" w:id="0">
    <w:p w14:paraId="5D1CD65C" w14:textId="77777777" w:rsidR="002D4F90" w:rsidRDefault="002D4F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339474"/>
      <w:docPartObj>
        <w:docPartGallery w:val="Page Numbers (Bottom of Page)"/>
        <w:docPartUnique/>
      </w:docPartObj>
    </w:sdtPr>
    <w:sdtEndPr>
      <w:rPr>
        <w:color w:val="7F7F7F" w:themeColor="background1" w:themeShade="7F"/>
        <w:spacing w:val="60"/>
      </w:rPr>
    </w:sdtEndPr>
    <w:sdtContent>
      <w:p w14:paraId="32310CA4" w14:textId="00B5B359" w:rsidR="00646504" w:rsidRPr="00476D40" w:rsidRDefault="00646504" w:rsidP="00646504">
        <w:pPr>
          <w:pStyle w:val="Footer"/>
          <w:pBdr>
            <w:top w:val="single" w:sz="4" w:space="1" w:color="D9D9D9" w:themeColor="background1" w:themeShade="D9"/>
          </w:pBdr>
          <w:jc w:val="both"/>
          <w:rPr>
            <w:color w:val="7F7F7F" w:themeColor="background1" w:themeShade="7F"/>
            <w:spacing w:val="60"/>
          </w:rPr>
        </w:pPr>
        <w:r>
          <w:fldChar w:fldCharType="begin"/>
        </w:r>
        <w:r>
          <w:instrText xml:space="preserve"> PAGE   \* MERGEFORMAT </w:instrText>
        </w:r>
        <w:r>
          <w:fldChar w:fldCharType="separate"/>
        </w:r>
        <w:r w:rsidR="00D5537C" w:rsidRPr="00D5537C">
          <w:rPr>
            <w:b/>
            <w:bCs/>
            <w:noProof/>
          </w:rPr>
          <w:t>19</w:t>
        </w:r>
        <w:r>
          <w:rPr>
            <w:b/>
            <w:bCs/>
            <w:noProof/>
          </w:rPr>
          <w:fldChar w:fldCharType="end"/>
        </w:r>
        <w:r>
          <w:rPr>
            <w:b/>
            <w:bCs/>
          </w:rPr>
          <w:t xml:space="preserve"> |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1C327" w14:textId="77777777" w:rsidR="002D4F90" w:rsidRDefault="002D4F90">
      <w:pPr>
        <w:spacing w:before="0" w:after="0"/>
      </w:pPr>
      <w:r>
        <w:separator/>
      </w:r>
    </w:p>
  </w:footnote>
  <w:footnote w:type="continuationSeparator" w:id="0">
    <w:p w14:paraId="171DBCF4" w14:textId="77777777" w:rsidR="002D4F90" w:rsidRDefault="002D4F9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B0003" w14:textId="77777777" w:rsidR="00646504" w:rsidRPr="00476D40" w:rsidRDefault="00646504" w:rsidP="00646504">
    <w:pPr>
      <w:jc w:val="right"/>
      <w:rPr>
        <w:sz w:val="20"/>
        <w:szCs w:val="20"/>
      </w:rPr>
    </w:pPr>
    <w:r w:rsidRPr="00476D40">
      <w:rPr>
        <w:sz w:val="20"/>
        <w:szCs w:val="20"/>
      </w:rPr>
      <w:t>Educational Needs</w:t>
    </w:r>
    <w:r>
      <w:rPr>
        <w:sz w:val="20"/>
        <w:szCs w:val="20"/>
      </w:rPr>
      <w:t xml:space="preserve"> and Workplace Opportunities </w:t>
    </w:r>
    <w:r w:rsidRPr="00476D40">
      <w:rPr>
        <w:sz w:val="20"/>
        <w:szCs w:val="20"/>
      </w:rPr>
      <w:t xml:space="preserve">of Allied Health Assistants: a qualitative pilot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0254"/>
    <w:multiLevelType w:val="hybridMultilevel"/>
    <w:tmpl w:val="20C0E954"/>
    <w:styleLink w:val="Bullets"/>
    <w:lvl w:ilvl="0" w:tplc="F358009A">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DC1FF4">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80AE62">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0FB1A">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7E85CE">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E4D3BC">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164C2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F8FE86">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70737E">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9D7234"/>
    <w:multiLevelType w:val="hybridMultilevel"/>
    <w:tmpl w:val="064C1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AA2371"/>
    <w:multiLevelType w:val="hybridMultilevel"/>
    <w:tmpl w:val="C2302C5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4109E7"/>
    <w:multiLevelType w:val="hybridMultilevel"/>
    <w:tmpl w:val="45EE16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9BE4461"/>
    <w:multiLevelType w:val="hybridMultilevel"/>
    <w:tmpl w:val="0F36FC4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19366A"/>
    <w:multiLevelType w:val="hybridMultilevel"/>
    <w:tmpl w:val="420AC5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FA7CBD"/>
    <w:multiLevelType w:val="hybridMultilevel"/>
    <w:tmpl w:val="AB9E8020"/>
    <w:lvl w:ilvl="0" w:tplc="88E2EF2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BB79B0"/>
    <w:multiLevelType w:val="hybridMultilevel"/>
    <w:tmpl w:val="5FF84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D42819"/>
    <w:multiLevelType w:val="multilevel"/>
    <w:tmpl w:val="281403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D173A7"/>
    <w:multiLevelType w:val="hybridMultilevel"/>
    <w:tmpl w:val="2F123482"/>
    <w:styleLink w:val="ImportedStyle6"/>
    <w:lvl w:ilvl="0" w:tplc="C78CEC34">
      <w:start w:val="1"/>
      <w:numFmt w:val="lowerRoman"/>
      <w:lvlText w:val="%1."/>
      <w:lvlJc w:val="left"/>
      <w:pPr>
        <w:ind w:left="714" w:hanging="4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365DBE">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E8CE">
      <w:start w:val="1"/>
      <w:numFmt w:val="lowerRoman"/>
      <w:lvlText w:val="%3."/>
      <w:lvlJc w:val="left"/>
      <w:pPr>
        <w:ind w:left="2154"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AA6FF2">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0C9CA0">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F89F46">
      <w:start w:val="1"/>
      <w:numFmt w:val="lowerRoman"/>
      <w:lvlText w:val="%6."/>
      <w:lvlJc w:val="left"/>
      <w:pPr>
        <w:ind w:left="4314"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B85B8A">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F04892">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92BC0A">
      <w:start w:val="1"/>
      <w:numFmt w:val="lowerRoman"/>
      <w:lvlText w:val="%9."/>
      <w:lvlJc w:val="left"/>
      <w:pPr>
        <w:ind w:left="6474"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09C57E1"/>
    <w:multiLevelType w:val="hybridMultilevel"/>
    <w:tmpl w:val="490A9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CE4666"/>
    <w:multiLevelType w:val="hybridMultilevel"/>
    <w:tmpl w:val="340AB63E"/>
    <w:lvl w:ilvl="0" w:tplc="0C090001">
      <w:start w:val="1"/>
      <w:numFmt w:val="bullet"/>
      <w:lvlText w:val=""/>
      <w:lvlJc w:val="left"/>
      <w:pPr>
        <w:ind w:left="720" w:hanging="360"/>
      </w:pPr>
      <w:rPr>
        <w:rFonts w:ascii="Symbol" w:hAnsi="Symbol" w:hint="default"/>
      </w:rPr>
    </w:lvl>
    <w:lvl w:ilvl="1" w:tplc="0F1CF252">
      <w:numFmt w:val="bullet"/>
      <w:lvlText w:val="-"/>
      <w:lvlJc w:val="left"/>
      <w:pPr>
        <w:ind w:left="1800" w:hanging="720"/>
      </w:pPr>
      <w:rPr>
        <w:rFonts w:ascii="Times New Roman" w:eastAsiaTheme="minorEastAsia"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B4132A"/>
    <w:multiLevelType w:val="hybridMultilevel"/>
    <w:tmpl w:val="ECB8D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8210F5"/>
    <w:multiLevelType w:val="hybridMultilevel"/>
    <w:tmpl w:val="20C0E954"/>
    <w:numStyleLink w:val="Bullets"/>
  </w:abstractNum>
  <w:abstractNum w:abstractNumId="14" w15:restartNumberingAfterBreak="0">
    <w:nsid w:val="4FDB4C54"/>
    <w:multiLevelType w:val="hybridMultilevel"/>
    <w:tmpl w:val="D4EC13F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7CE0AB7"/>
    <w:multiLevelType w:val="hybridMultilevel"/>
    <w:tmpl w:val="60424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3010F1"/>
    <w:multiLevelType w:val="hybridMultilevel"/>
    <w:tmpl w:val="A4C216FA"/>
    <w:lvl w:ilvl="0" w:tplc="EDE07382">
      <w:start w:val="1"/>
      <w:numFmt w:val="bullet"/>
      <w:pStyle w:val="Heading4"/>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702598"/>
    <w:multiLevelType w:val="hybridMultilevel"/>
    <w:tmpl w:val="F36C0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2420D4"/>
    <w:multiLevelType w:val="hybridMultilevel"/>
    <w:tmpl w:val="BB9A9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13"/>
  </w:num>
  <w:num w:numId="6">
    <w:abstractNumId w:val="8"/>
  </w:num>
  <w:num w:numId="7">
    <w:abstractNumId w:val="3"/>
  </w:num>
  <w:num w:numId="8">
    <w:abstractNumId w:val="15"/>
  </w:num>
  <w:num w:numId="9">
    <w:abstractNumId w:val="10"/>
  </w:num>
  <w:num w:numId="10">
    <w:abstractNumId w:val="12"/>
  </w:num>
  <w:num w:numId="11">
    <w:abstractNumId w:val="18"/>
  </w:num>
  <w:num w:numId="12">
    <w:abstractNumId w:val="1"/>
  </w:num>
  <w:num w:numId="13">
    <w:abstractNumId w:val="17"/>
  </w:num>
  <w:num w:numId="14">
    <w:abstractNumId w:val="11"/>
  </w:num>
  <w:num w:numId="15">
    <w:abstractNumId w:val="16"/>
  </w:num>
  <w:num w:numId="16">
    <w:abstractNumId w:val="2"/>
  </w:num>
  <w:num w:numId="17">
    <w:abstractNumId w:val="9"/>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0551E"/>
    <w:rsid w:val="0000551E"/>
    <w:rsid w:val="000075C0"/>
    <w:rsid w:val="0001374B"/>
    <w:rsid w:val="00053D7D"/>
    <w:rsid w:val="000572E8"/>
    <w:rsid w:val="00065166"/>
    <w:rsid w:val="000A238D"/>
    <w:rsid w:val="000C621C"/>
    <w:rsid w:val="000F20A7"/>
    <w:rsid w:val="00142030"/>
    <w:rsid w:val="00161545"/>
    <w:rsid w:val="00164222"/>
    <w:rsid w:val="001B229C"/>
    <w:rsid w:val="001F629A"/>
    <w:rsid w:val="001F78DC"/>
    <w:rsid w:val="00220DDF"/>
    <w:rsid w:val="0027224B"/>
    <w:rsid w:val="00280917"/>
    <w:rsid w:val="002C2B8C"/>
    <w:rsid w:val="002D4F90"/>
    <w:rsid w:val="0030723C"/>
    <w:rsid w:val="00312771"/>
    <w:rsid w:val="003346A7"/>
    <w:rsid w:val="003542A6"/>
    <w:rsid w:val="003B5B69"/>
    <w:rsid w:val="0041482B"/>
    <w:rsid w:val="00496BF4"/>
    <w:rsid w:val="004B3949"/>
    <w:rsid w:val="004F54F7"/>
    <w:rsid w:val="004F59F5"/>
    <w:rsid w:val="004F7A39"/>
    <w:rsid w:val="00537162"/>
    <w:rsid w:val="00540391"/>
    <w:rsid w:val="00543EF4"/>
    <w:rsid w:val="005A7BEC"/>
    <w:rsid w:val="005C229A"/>
    <w:rsid w:val="005E5DE8"/>
    <w:rsid w:val="005F55A4"/>
    <w:rsid w:val="005F66D6"/>
    <w:rsid w:val="00601E88"/>
    <w:rsid w:val="00626475"/>
    <w:rsid w:val="00646504"/>
    <w:rsid w:val="006C1F43"/>
    <w:rsid w:val="006D3FEB"/>
    <w:rsid w:val="00790769"/>
    <w:rsid w:val="007E26C4"/>
    <w:rsid w:val="007E6BB4"/>
    <w:rsid w:val="007E706B"/>
    <w:rsid w:val="007F0F09"/>
    <w:rsid w:val="007F3735"/>
    <w:rsid w:val="007F6005"/>
    <w:rsid w:val="008243F1"/>
    <w:rsid w:val="008372EA"/>
    <w:rsid w:val="008560BC"/>
    <w:rsid w:val="0085675A"/>
    <w:rsid w:val="008A3035"/>
    <w:rsid w:val="008A5B66"/>
    <w:rsid w:val="008F11F4"/>
    <w:rsid w:val="00900891"/>
    <w:rsid w:val="00907BD8"/>
    <w:rsid w:val="00916D7C"/>
    <w:rsid w:val="00936289"/>
    <w:rsid w:val="009411CD"/>
    <w:rsid w:val="00985AEB"/>
    <w:rsid w:val="009A1E13"/>
    <w:rsid w:val="009D1177"/>
    <w:rsid w:val="00A00802"/>
    <w:rsid w:val="00A2015F"/>
    <w:rsid w:val="00A226F6"/>
    <w:rsid w:val="00A33E19"/>
    <w:rsid w:val="00AB26A1"/>
    <w:rsid w:val="00B3377F"/>
    <w:rsid w:val="00B42684"/>
    <w:rsid w:val="00B50BD4"/>
    <w:rsid w:val="00BA3605"/>
    <w:rsid w:val="00BA5EEA"/>
    <w:rsid w:val="00BF2D23"/>
    <w:rsid w:val="00BF57D4"/>
    <w:rsid w:val="00BF6287"/>
    <w:rsid w:val="00C04F24"/>
    <w:rsid w:val="00C06501"/>
    <w:rsid w:val="00C54C8F"/>
    <w:rsid w:val="00C666F4"/>
    <w:rsid w:val="00C71D70"/>
    <w:rsid w:val="00C7740E"/>
    <w:rsid w:val="00C77FAC"/>
    <w:rsid w:val="00CA6EE3"/>
    <w:rsid w:val="00CB26B6"/>
    <w:rsid w:val="00D4297B"/>
    <w:rsid w:val="00D44096"/>
    <w:rsid w:val="00D5537C"/>
    <w:rsid w:val="00DE2AC2"/>
    <w:rsid w:val="00E521A3"/>
    <w:rsid w:val="00E65029"/>
    <w:rsid w:val="00EA676A"/>
    <w:rsid w:val="00EA67BA"/>
    <w:rsid w:val="00EC5F96"/>
    <w:rsid w:val="00ED3008"/>
    <w:rsid w:val="00EE31FC"/>
    <w:rsid w:val="00F35CBE"/>
    <w:rsid w:val="00F44BA9"/>
    <w:rsid w:val="00F950AF"/>
    <w:rsid w:val="00FD0209"/>
    <w:rsid w:val="00FE4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2CC8"/>
  <w15:docId w15:val="{CD44D47D-545E-492D-9E66-54A1E080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51E"/>
    <w:pPr>
      <w:spacing w:before="120" w:after="120" w:line="240" w:lineRule="auto"/>
    </w:pPr>
    <w:rPr>
      <w:rFonts w:asciiTheme="majorBidi" w:eastAsiaTheme="minorEastAsia" w:hAnsiTheme="majorBidi" w:cstheme="majorBidi"/>
      <w:sz w:val="24"/>
      <w:szCs w:val="24"/>
    </w:rPr>
  </w:style>
  <w:style w:type="paragraph" w:styleId="Heading1">
    <w:name w:val="heading 1"/>
    <w:basedOn w:val="Normal"/>
    <w:next w:val="Normal"/>
    <w:link w:val="Heading1Char"/>
    <w:autoRedefine/>
    <w:uiPriority w:val="9"/>
    <w:qFormat/>
    <w:rsid w:val="0000551E"/>
    <w:pPr>
      <w:keepNext/>
      <w:keepLines/>
      <w:spacing w:before="480" w:after="0"/>
      <w:outlineLvl w:val="0"/>
    </w:pPr>
    <w:rPr>
      <w:rFonts w:ascii="Times New Roman" w:eastAsiaTheme="majorEastAsia" w:hAnsi="Times New Roman"/>
      <w:b/>
      <w:bCs/>
      <w:sz w:val="28"/>
      <w:szCs w:val="28"/>
    </w:rPr>
  </w:style>
  <w:style w:type="paragraph" w:styleId="Heading2">
    <w:name w:val="heading 2"/>
    <w:basedOn w:val="Normal"/>
    <w:next w:val="Normal"/>
    <w:link w:val="Heading2Char"/>
    <w:autoRedefine/>
    <w:uiPriority w:val="9"/>
    <w:unhideWhenUsed/>
    <w:qFormat/>
    <w:rsid w:val="0000551E"/>
    <w:pPr>
      <w:keepNext/>
      <w:keepLines/>
      <w:outlineLvl w:val="1"/>
    </w:pPr>
    <w:rPr>
      <w:rFonts w:ascii="Times New Roman" w:eastAsiaTheme="majorEastAsia" w:hAnsi="Times New Roman"/>
      <w:bCs/>
      <w:szCs w:val="26"/>
    </w:rPr>
  </w:style>
  <w:style w:type="paragraph" w:styleId="Heading3">
    <w:name w:val="heading 3"/>
    <w:basedOn w:val="Normal"/>
    <w:next w:val="Normal"/>
    <w:link w:val="Heading3Char"/>
    <w:autoRedefine/>
    <w:uiPriority w:val="9"/>
    <w:unhideWhenUsed/>
    <w:qFormat/>
    <w:rsid w:val="00BF57D4"/>
    <w:pPr>
      <w:keepNext/>
      <w:keepLines/>
      <w:spacing w:before="240" w:line="480" w:lineRule="auto"/>
      <w:outlineLvl w:val="2"/>
    </w:pPr>
    <w:rPr>
      <w:rFonts w:ascii="Times New Roman" w:eastAsiaTheme="majorEastAsia" w:hAnsi="Times New Roman"/>
      <w:b/>
      <w:bCs/>
    </w:rPr>
  </w:style>
  <w:style w:type="paragraph" w:styleId="Heading4">
    <w:name w:val="heading 4"/>
    <w:basedOn w:val="Normal"/>
    <w:next w:val="Normal"/>
    <w:link w:val="Heading4Char"/>
    <w:autoRedefine/>
    <w:uiPriority w:val="9"/>
    <w:unhideWhenUsed/>
    <w:qFormat/>
    <w:rsid w:val="0000551E"/>
    <w:pPr>
      <w:keepNext/>
      <w:keepLines/>
      <w:numPr>
        <w:numId w:val="15"/>
      </w:numPr>
      <w:outlineLvl w:val="3"/>
    </w:pPr>
    <w:rPr>
      <w:rFonts w:ascii="Times New Roman" w:eastAsiaTheme="majorEastAsia" w:hAnsi="Times New Roman"/>
      <w:bCs/>
      <w:iCs/>
    </w:rPr>
  </w:style>
  <w:style w:type="paragraph" w:styleId="Heading5">
    <w:name w:val="heading 5"/>
    <w:basedOn w:val="Normal"/>
    <w:next w:val="Normal"/>
    <w:link w:val="Heading5Char"/>
    <w:autoRedefine/>
    <w:uiPriority w:val="9"/>
    <w:unhideWhenUsed/>
    <w:qFormat/>
    <w:rsid w:val="0000551E"/>
    <w:pPr>
      <w:keepNext/>
      <w:keepLines/>
      <w:spacing w:before="200" w:after="0"/>
      <w:outlineLvl w:val="4"/>
    </w:pPr>
    <w:rPr>
      <w:rFonts w:ascii="Times New Roman" w:eastAsiaTheme="majorEastAsia" w:hAnsi="Times New Roman"/>
      <w:b/>
      <w: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51E"/>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00551E"/>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BF57D4"/>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rsid w:val="0000551E"/>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9"/>
    <w:rsid w:val="0000551E"/>
    <w:rPr>
      <w:rFonts w:ascii="Times New Roman" w:eastAsiaTheme="majorEastAsia" w:hAnsi="Times New Roman" w:cstheme="majorBidi"/>
      <w:b/>
      <w:i/>
      <w:sz w:val="24"/>
      <w:szCs w:val="24"/>
      <w:lang w:bidi="en-US"/>
    </w:rPr>
  </w:style>
  <w:style w:type="paragraph" w:styleId="NoSpacing">
    <w:name w:val="No Spacing"/>
    <w:aliases w:val="Table and Figure text"/>
    <w:uiPriority w:val="1"/>
    <w:qFormat/>
    <w:rsid w:val="0000551E"/>
    <w:pPr>
      <w:spacing w:after="0" w:line="240" w:lineRule="auto"/>
    </w:pPr>
    <w:rPr>
      <w:rFonts w:ascii="Times New Roman" w:eastAsiaTheme="minorEastAsia" w:hAnsi="Times New Roman"/>
      <w:sz w:val="24"/>
    </w:rPr>
  </w:style>
  <w:style w:type="paragraph" w:styleId="ListParagraph">
    <w:name w:val="List Paragraph"/>
    <w:basedOn w:val="Normal"/>
    <w:uiPriority w:val="34"/>
    <w:qFormat/>
    <w:rsid w:val="0000551E"/>
    <w:pPr>
      <w:spacing w:before="0"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0551E"/>
    <w:pPr>
      <w:tabs>
        <w:tab w:val="center" w:pos="4513"/>
        <w:tab w:val="right" w:pos="9026"/>
      </w:tabs>
      <w:spacing w:before="0" w:after="0"/>
    </w:pPr>
  </w:style>
  <w:style w:type="character" w:customStyle="1" w:styleId="HeaderChar">
    <w:name w:val="Header Char"/>
    <w:basedOn w:val="DefaultParagraphFont"/>
    <w:link w:val="Header"/>
    <w:uiPriority w:val="99"/>
    <w:rsid w:val="0000551E"/>
    <w:rPr>
      <w:rFonts w:asciiTheme="majorBidi" w:eastAsiaTheme="minorEastAsia" w:hAnsiTheme="majorBidi" w:cstheme="majorBidi"/>
      <w:sz w:val="24"/>
      <w:szCs w:val="24"/>
    </w:rPr>
  </w:style>
  <w:style w:type="paragraph" w:styleId="Footer">
    <w:name w:val="footer"/>
    <w:basedOn w:val="Normal"/>
    <w:link w:val="FooterChar"/>
    <w:uiPriority w:val="99"/>
    <w:unhideWhenUsed/>
    <w:rsid w:val="0000551E"/>
    <w:pPr>
      <w:tabs>
        <w:tab w:val="center" w:pos="4513"/>
        <w:tab w:val="right" w:pos="9026"/>
      </w:tabs>
      <w:spacing w:before="0" w:after="0"/>
    </w:pPr>
  </w:style>
  <w:style w:type="character" w:customStyle="1" w:styleId="FooterChar">
    <w:name w:val="Footer Char"/>
    <w:basedOn w:val="DefaultParagraphFont"/>
    <w:link w:val="Footer"/>
    <w:uiPriority w:val="99"/>
    <w:rsid w:val="0000551E"/>
    <w:rPr>
      <w:rFonts w:asciiTheme="majorBidi" w:eastAsiaTheme="minorEastAsia" w:hAnsiTheme="majorBidi" w:cstheme="majorBidi"/>
      <w:sz w:val="24"/>
      <w:szCs w:val="24"/>
    </w:rPr>
  </w:style>
  <w:style w:type="paragraph" w:customStyle="1" w:styleId="Body">
    <w:name w:val="Body"/>
    <w:rsid w:val="0000551E"/>
    <w:pPr>
      <w:pBdr>
        <w:top w:val="nil"/>
        <w:left w:val="nil"/>
        <w:bottom w:val="nil"/>
        <w:right w:val="nil"/>
        <w:between w:val="nil"/>
        <w:bar w:val="nil"/>
      </w:pBdr>
      <w:spacing w:before="120" w:after="120" w:line="240" w:lineRule="auto"/>
      <w:ind w:firstLine="720"/>
      <w:jc w:val="both"/>
    </w:pPr>
    <w:rPr>
      <w:rFonts w:ascii="Cambria" w:eastAsia="Cambria" w:hAnsi="Cambria" w:cs="Cambria"/>
      <w:color w:val="000000"/>
      <w:sz w:val="24"/>
      <w:szCs w:val="24"/>
      <w:u w:color="000000"/>
      <w:bdr w:val="nil"/>
      <w:lang w:val="en-US" w:eastAsia="en-AU"/>
    </w:rPr>
  </w:style>
  <w:style w:type="numbering" w:customStyle="1" w:styleId="Bullets">
    <w:name w:val="Bullets"/>
    <w:rsid w:val="0000551E"/>
    <w:pPr>
      <w:numPr>
        <w:numId w:val="4"/>
      </w:numPr>
    </w:pPr>
  </w:style>
  <w:style w:type="paragraph" w:customStyle="1" w:styleId="EndNoteBibliographyTitle">
    <w:name w:val="EndNote Bibliography Title"/>
    <w:basedOn w:val="Normal"/>
    <w:link w:val="EndNoteBibliographyTitleChar"/>
    <w:rsid w:val="0000551E"/>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00551E"/>
    <w:rPr>
      <w:rFonts w:ascii="Times New Roman" w:eastAsiaTheme="minorEastAsia" w:hAnsi="Times New Roman" w:cs="Times New Roman"/>
      <w:noProof/>
      <w:sz w:val="24"/>
      <w:szCs w:val="24"/>
      <w:lang w:val="en-US"/>
    </w:rPr>
  </w:style>
  <w:style w:type="paragraph" w:customStyle="1" w:styleId="EndNoteBibliography">
    <w:name w:val="EndNote Bibliography"/>
    <w:basedOn w:val="Normal"/>
    <w:link w:val="EndNoteBibliographyChar"/>
    <w:rsid w:val="0000551E"/>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00551E"/>
    <w:rPr>
      <w:rFonts w:ascii="Times New Roman" w:eastAsiaTheme="minorEastAsia" w:hAnsi="Times New Roman" w:cs="Times New Roman"/>
      <w:noProof/>
      <w:sz w:val="24"/>
      <w:szCs w:val="24"/>
      <w:lang w:val="en-US"/>
    </w:rPr>
  </w:style>
  <w:style w:type="character" w:styleId="Hyperlink">
    <w:name w:val="Hyperlink"/>
    <w:basedOn w:val="DefaultParagraphFont"/>
    <w:uiPriority w:val="99"/>
    <w:unhideWhenUsed/>
    <w:rsid w:val="0000551E"/>
    <w:rPr>
      <w:color w:val="0563C1" w:themeColor="hyperlink"/>
      <w:u w:val="single"/>
    </w:rPr>
  </w:style>
  <w:style w:type="paragraph" w:styleId="BalloonText">
    <w:name w:val="Balloon Text"/>
    <w:basedOn w:val="Normal"/>
    <w:link w:val="BalloonTextChar"/>
    <w:uiPriority w:val="99"/>
    <w:semiHidden/>
    <w:unhideWhenUsed/>
    <w:rsid w:val="0000551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1E"/>
    <w:rPr>
      <w:rFonts w:ascii="Segoe UI" w:eastAsiaTheme="minorEastAsia" w:hAnsi="Segoe UI" w:cs="Segoe UI"/>
      <w:sz w:val="18"/>
      <w:szCs w:val="18"/>
    </w:rPr>
  </w:style>
  <w:style w:type="paragraph" w:styleId="TOCHeading">
    <w:name w:val="TOC Heading"/>
    <w:basedOn w:val="Heading1"/>
    <w:next w:val="Normal"/>
    <w:uiPriority w:val="39"/>
    <w:semiHidden/>
    <w:unhideWhenUsed/>
    <w:qFormat/>
    <w:rsid w:val="0000551E"/>
    <w:pPr>
      <w:spacing w:line="276" w:lineRule="auto"/>
      <w:outlineLvl w:val="9"/>
    </w:pPr>
    <w:rPr>
      <w:rFonts w:asciiTheme="majorHAnsi" w:hAnsiTheme="majorHAnsi"/>
      <w:color w:val="2E74B5" w:themeColor="accent1" w:themeShade="BF"/>
      <w:lang w:val="en-US" w:eastAsia="ja-JP"/>
    </w:rPr>
  </w:style>
  <w:style w:type="paragraph" w:styleId="TOC1">
    <w:name w:val="toc 1"/>
    <w:basedOn w:val="Normal"/>
    <w:next w:val="Normal"/>
    <w:autoRedefine/>
    <w:uiPriority w:val="39"/>
    <w:unhideWhenUsed/>
    <w:rsid w:val="0000551E"/>
    <w:pPr>
      <w:spacing w:after="100"/>
    </w:pPr>
  </w:style>
  <w:style w:type="paragraph" w:styleId="TOC2">
    <w:name w:val="toc 2"/>
    <w:basedOn w:val="Normal"/>
    <w:next w:val="Normal"/>
    <w:autoRedefine/>
    <w:uiPriority w:val="39"/>
    <w:unhideWhenUsed/>
    <w:rsid w:val="0000551E"/>
    <w:pPr>
      <w:spacing w:after="100"/>
      <w:ind w:left="240"/>
    </w:pPr>
  </w:style>
  <w:style w:type="paragraph" w:styleId="TOC3">
    <w:name w:val="toc 3"/>
    <w:basedOn w:val="Normal"/>
    <w:next w:val="Normal"/>
    <w:autoRedefine/>
    <w:uiPriority w:val="39"/>
    <w:unhideWhenUsed/>
    <w:rsid w:val="0000551E"/>
    <w:pPr>
      <w:spacing w:after="100"/>
      <w:ind w:left="480"/>
    </w:pPr>
  </w:style>
  <w:style w:type="character" w:styleId="LineNumber">
    <w:name w:val="line number"/>
    <w:basedOn w:val="DefaultParagraphFont"/>
    <w:uiPriority w:val="99"/>
    <w:semiHidden/>
    <w:unhideWhenUsed/>
    <w:rsid w:val="0000551E"/>
  </w:style>
  <w:style w:type="numbering" w:customStyle="1" w:styleId="ImportedStyle6">
    <w:name w:val="Imported Style 6"/>
    <w:rsid w:val="0000551E"/>
    <w:pPr>
      <w:numPr>
        <w:numId w:val="17"/>
      </w:numPr>
    </w:pPr>
  </w:style>
  <w:style w:type="character" w:styleId="CommentReference">
    <w:name w:val="annotation reference"/>
    <w:basedOn w:val="DefaultParagraphFont"/>
    <w:uiPriority w:val="99"/>
    <w:semiHidden/>
    <w:unhideWhenUsed/>
    <w:rsid w:val="0000551E"/>
    <w:rPr>
      <w:sz w:val="16"/>
      <w:szCs w:val="16"/>
    </w:rPr>
  </w:style>
  <w:style w:type="paragraph" w:styleId="CommentText">
    <w:name w:val="annotation text"/>
    <w:basedOn w:val="Normal"/>
    <w:link w:val="CommentTextChar"/>
    <w:uiPriority w:val="99"/>
    <w:semiHidden/>
    <w:unhideWhenUsed/>
    <w:rsid w:val="0000551E"/>
    <w:rPr>
      <w:sz w:val="20"/>
      <w:szCs w:val="20"/>
    </w:rPr>
  </w:style>
  <w:style w:type="character" w:customStyle="1" w:styleId="CommentTextChar">
    <w:name w:val="Comment Text Char"/>
    <w:basedOn w:val="DefaultParagraphFont"/>
    <w:link w:val="CommentText"/>
    <w:uiPriority w:val="99"/>
    <w:semiHidden/>
    <w:rsid w:val="0000551E"/>
    <w:rPr>
      <w:rFonts w:asciiTheme="majorBidi" w:eastAsiaTheme="minorEastAsia" w:hAnsiTheme="majorBidi" w:cstheme="majorBidi"/>
      <w:sz w:val="20"/>
      <w:szCs w:val="20"/>
    </w:rPr>
  </w:style>
  <w:style w:type="paragraph" w:styleId="CommentSubject">
    <w:name w:val="annotation subject"/>
    <w:basedOn w:val="CommentText"/>
    <w:next w:val="CommentText"/>
    <w:link w:val="CommentSubjectChar"/>
    <w:uiPriority w:val="99"/>
    <w:semiHidden/>
    <w:unhideWhenUsed/>
    <w:rsid w:val="0000551E"/>
    <w:rPr>
      <w:b/>
      <w:bCs/>
    </w:rPr>
  </w:style>
  <w:style w:type="character" w:customStyle="1" w:styleId="CommentSubjectChar">
    <w:name w:val="Comment Subject Char"/>
    <w:basedOn w:val="CommentTextChar"/>
    <w:link w:val="CommentSubject"/>
    <w:uiPriority w:val="99"/>
    <w:semiHidden/>
    <w:rsid w:val="0000551E"/>
    <w:rPr>
      <w:rFonts w:asciiTheme="majorBidi" w:eastAsiaTheme="minorEastAsia" w:hAnsiTheme="majorBidi" w:cstheme="maj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ckan@griffith.edu.a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03DFE-AA9C-417A-AA9C-61E63045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4708</Words>
  <Characters>26842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31488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Mickan</dc:creator>
  <cp:lastModifiedBy>Sharon Mickan</cp:lastModifiedBy>
  <cp:revision>2</cp:revision>
  <dcterms:created xsi:type="dcterms:W3CDTF">2018-10-17T07:21:00Z</dcterms:created>
  <dcterms:modified xsi:type="dcterms:W3CDTF">2018-10-17T07:21:00Z</dcterms:modified>
</cp:coreProperties>
</file>