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r>
        <w:rPr>
          <w:rFonts w:ascii="Calibri" w:eastAsia="Times New Roman" w:hAnsi="Calibri" w:cs="Calibri"/>
          <w:color w:val="000000"/>
          <w:sz w:val="28"/>
          <w:szCs w:val="28"/>
          <w:vertAlign w:val="subscript"/>
          <w:lang w:eastAsia="en-AU"/>
        </w:rPr>
        <w:t xml:space="preserve">8th November, </w:t>
      </w:r>
      <w:bookmarkStart w:id="0" w:name="_GoBack"/>
      <w:bookmarkEnd w:id="0"/>
      <w:r>
        <w:rPr>
          <w:rFonts w:ascii="Calibri" w:eastAsia="Times New Roman" w:hAnsi="Calibri" w:cs="Calibri"/>
          <w:color w:val="000000"/>
          <w:sz w:val="28"/>
          <w:szCs w:val="28"/>
          <w:vertAlign w:val="subscript"/>
          <w:lang w:eastAsia="en-AU"/>
        </w:rPr>
        <w:t>2017</w:t>
      </w:r>
    </w:p>
    <w:p w:rsidR="005112F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p>
    <w:p w:rsidR="005112F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Dear </w:t>
      </w:r>
      <w:r w:rsidRPr="005112F7">
        <w:rPr>
          <w:rFonts w:ascii="Calibri" w:eastAsia="Times New Roman" w:hAnsi="Calibri" w:cs="Calibri"/>
          <w:color w:val="000000"/>
          <w:sz w:val="28"/>
          <w:szCs w:val="28"/>
          <w:vertAlign w:val="subscript"/>
          <w:lang w:eastAsia="en-AU"/>
        </w:rPr>
        <w:t>Anna</w:t>
      </w:r>
      <w:r w:rsidRPr="005112F7">
        <w:rPr>
          <w:rFonts w:ascii="Calibri" w:eastAsia="Times New Roman" w:hAnsi="Calibri" w:cs="Calibri"/>
          <w:color w:val="000000"/>
          <w:sz w:val="28"/>
          <w:szCs w:val="28"/>
          <w:vertAlign w:val="subscript"/>
          <w:lang w:eastAsia="en-AU"/>
        </w:rPr>
        <w:t xml:space="preserve">.   </w:t>
      </w:r>
    </w:p>
    <w:p w:rsidR="005112F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p>
    <w:p w:rsidR="005112F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The authors would sincerely like to thank you and the reviews for their valuable comments. Their insight has enabled us to look at the paper with fresh eyes and ultimately, to strengthen what we have written. </w:t>
      </w:r>
    </w:p>
    <w:p w:rsidR="005112F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p>
    <w:p w:rsidR="005112F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p>
    <w:p w:rsidR="00217497" w:rsidRPr="005112F7" w:rsidRDefault="005112F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Specific comments are below  </w:t>
      </w:r>
    </w:p>
    <w:p w:rsidR="00217497" w:rsidRPr="005112F7" w:rsidRDefault="0021749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p>
    <w:tbl>
      <w:tblPr>
        <w:tblStyle w:val="TableGrid"/>
        <w:tblW w:w="0" w:type="auto"/>
        <w:tblLook w:val="04A0" w:firstRow="1" w:lastRow="0" w:firstColumn="1" w:lastColumn="0" w:noHBand="0" w:noVBand="1"/>
      </w:tblPr>
      <w:tblGrid>
        <w:gridCol w:w="7083"/>
        <w:gridCol w:w="1933"/>
      </w:tblGrid>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The central comments I would offer would be to make the purpose</w:t>
            </w:r>
            <w:r w:rsidRPr="005112F7">
              <w:rPr>
                <w:rFonts w:ascii="Calibri" w:eastAsia="Times New Roman" w:hAnsi="Calibri" w:cs="Calibri"/>
                <w:color w:val="000000"/>
                <w:sz w:val="28"/>
                <w:szCs w:val="28"/>
                <w:vertAlign w:val="subscript"/>
                <w:lang w:eastAsia="en-AU"/>
              </w:rPr>
              <w:br/>
              <w:t>of the paper more explicit, it is not clear to page 4 as to what the paper</w:t>
            </w:r>
            <w:r w:rsidRPr="005112F7">
              <w:rPr>
                <w:rFonts w:ascii="Calibri" w:eastAsia="Times New Roman" w:hAnsi="Calibri" w:cs="Calibri"/>
                <w:color w:val="000000"/>
                <w:sz w:val="28"/>
                <w:szCs w:val="28"/>
                <w:vertAlign w:val="subscript"/>
                <w:lang w:eastAsia="en-AU"/>
              </w:rPr>
              <w:br/>
              <w:t>is about. Similarly as a ‘report of considerations of HTAG members’ it</w:t>
            </w:r>
            <w:r w:rsidRPr="005112F7">
              <w:rPr>
                <w:rFonts w:ascii="Calibri" w:eastAsia="Times New Roman" w:hAnsi="Calibri" w:cs="Calibri"/>
                <w:color w:val="000000"/>
                <w:sz w:val="28"/>
                <w:szCs w:val="28"/>
                <w:vertAlign w:val="subscript"/>
                <w:lang w:eastAsia="en-AU"/>
              </w:rPr>
              <w:br/>
              <w:t>also provides ‘aims’ and ‘objectives’ which blur the direction and</w:t>
            </w:r>
            <w:r w:rsidRPr="005112F7">
              <w:rPr>
                <w:rFonts w:ascii="Calibri" w:eastAsia="Times New Roman" w:hAnsi="Calibri" w:cs="Calibri"/>
                <w:color w:val="000000"/>
                <w:sz w:val="28"/>
                <w:szCs w:val="28"/>
                <w:vertAlign w:val="subscript"/>
                <w:lang w:eastAsia="en-AU"/>
              </w:rPr>
              <w:br/>
              <w:t xml:space="preserve">reason for the paper. </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Amended to Abstract to remove aims and objectives and to show the purpose of the paper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The paper authors clearly have experienced a certain</w:t>
            </w:r>
            <w:r w:rsidRPr="005112F7">
              <w:rPr>
                <w:rFonts w:ascii="Calibri" w:eastAsia="Times New Roman" w:hAnsi="Calibri" w:cs="Calibri"/>
                <w:color w:val="000000"/>
                <w:sz w:val="28"/>
                <w:szCs w:val="28"/>
                <w:vertAlign w:val="subscript"/>
                <w:lang w:eastAsia="en-AU"/>
              </w:rPr>
              <w:br/>
              <w:t>set of UHC relationships between industry and higher education however from</w:t>
            </w:r>
            <w:r w:rsidRPr="005112F7">
              <w:rPr>
                <w:rFonts w:ascii="Calibri" w:eastAsia="Times New Roman" w:hAnsi="Calibri" w:cs="Calibri"/>
                <w:color w:val="000000"/>
                <w:sz w:val="28"/>
                <w:szCs w:val="28"/>
                <w:vertAlign w:val="subscript"/>
                <w:lang w:eastAsia="en-AU"/>
              </w:rPr>
              <w:br/>
              <w:t>a national perspective such opportunities may not always apply; this could</w:t>
            </w:r>
            <w:r w:rsidRPr="005112F7">
              <w:rPr>
                <w:rFonts w:ascii="Calibri" w:eastAsia="Times New Roman" w:hAnsi="Calibri" w:cs="Calibri"/>
                <w:color w:val="000000"/>
                <w:sz w:val="28"/>
                <w:szCs w:val="28"/>
                <w:vertAlign w:val="subscript"/>
                <w:lang w:eastAsia="en-AU"/>
              </w:rPr>
              <w:br/>
              <w:t>at least be acknowledged.</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Addressed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Given the insights of the HTAG the opinions within the paper are directed to</w:t>
            </w:r>
            <w:r w:rsidRPr="005112F7">
              <w:rPr>
                <w:rFonts w:ascii="Calibri" w:eastAsia="Times New Roman" w:hAnsi="Calibri" w:cs="Calibri"/>
                <w:color w:val="000000"/>
                <w:sz w:val="28"/>
                <w:szCs w:val="28"/>
                <w:vertAlign w:val="subscript"/>
                <w:lang w:eastAsia="en-AU"/>
              </w:rPr>
              <w:br/>
              <w:t>local relationships and structures, with some tacit acknowledgment of national bodies TEQSA, however I suggest the value of the paper would be to ascribe to a higher set of national principles, ones that could inform a wider audience as to the benefit of UHCs. Given the paper title I would also provide a much clearer (bolded) definition of what a UHC is – two definitions (pages 4-5) are provided along with an acknowledgement that guidelines to inform structures are not clear.</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This has been amended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Finally the HTAG could be much clearer as to what financial model they are</w:t>
            </w:r>
            <w:r w:rsidRPr="005112F7">
              <w:rPr>
                <w:rFonts w:ascii="Calibri" w:eastAsia="Times New Roman" w:hAnsi="Calibri" w:cs="Calibri"/>
                <w:color w:val="000000"/>
                <w:sz w:val="28"/>
                <w:szCs w:val="28"/>
                <w:vertAlign w:val="subscript"/>
                <w:lang w:eastAsia="en-AU"/>
              </w:rPr>
              <w:br/>
              <w:t>either proposing, recommending or describing for the conduct of a UHC.  For</w:t>
            </w:r>
            <w:r w:rsidRPr="005112F7">
              <w:rPr>
                <w:rFonts w:ascii="Calibri" w:eastAsia="Times New Roman" w:hAnsi="Calibri" w:cs="Calibri"/>
                <w:color w:val="000000"/>
                <w:sz w:val="28"/>
                <w:szCs w:val="28"/>
                <w:vertAlign w:val="subscript"/>
                <w:lang w:eastAsia="en-AU"/>
              </w:rPr>
              <w:br/>
              <w:t>example if UHC take on a cost recovery or income generating role, is this to</w:t>
            </w:r>
            <w:r w:rsidRPr="005112F7">
              <w:rPr>
                <w:rFonts w:ascii="Calibri" w:eastAsia="Times New Roman" w:hAnsi="Calibri" w:cs="Calibri"/>
                <w:color w:val="000000"/>
                <w:sz w:val="28"/>
                <w:szCs w:val="28"/>
                <w:vertAlign w:val="subscript"/>
                <w:lang w:eastAsia="en-AU"/>
              </w:rPr>
              <w:br/>
              <w:t>offset clinical placement charges in other hospital settings?</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We appreciate this comment, but at this stage of our work we are not prepared to make any recommendations. Perhaps we will after more knowledge is gathered.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i/>
                <w:color w:val="000000"/>
                <w:sz w:val="28"/>
                <w:szCs w:val="28"/>
                <w:vertAlign w:val="subscript"/>
                <w:lang w:eastAsia="en-AU"/>
              </w:rPr>
            </w:pPr>
            <w:r w:rsidRPr="005112F7">
              <w:rPr>
                <w:rFonts w:ascii="Calibri" w:eastAsia="Times New Roman" w:hAnsi="Calibri" w:cs="Calibri"/>
                <w:i/>
                <w:color w:val="000000"/>
                <w:sz w:val="28"/>
                <w:szCs w:val="28"/>
                <w:vertAlign w:val="subscript"/>
                <w:lang w:eastAsia="en-AU"/>
              </w:rPr>
              <w:t>Some comments and suggestions are offered below.</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1 </w:t>
            </w:r>
            <w:r w:rsidRPr="005112F7">
              <w:rPr>
                <w:rFonts w:ascii="Calibri" w:eastAsia="Times New Roman" w:hAnsi="Calibri" w:cs="Calibri"/>
                <w:color w:val="000000"/>
                <w:sz w:val="28"/>
                <w:szCs w:val="28"/>
                <w:vertAlign w:val="subscript"/>
                <w:lang w:eastAsia="en-AU"/>
              </w:rPr>
              <w:br/>
              <w:t>1.      In doing so, UHCs provide an opportunity to operationalise the</w:t>
            </w:r>
            <w:r w:rsidRPr="005112F7">
              <w:rPr>
                <w:rFonts w:ascii="Calibri" w:eastAsia="Times New Roman" w:hAnsi="Calibri" w:cs="Calibri"/>
                <w:color w:val="000000"/>
                <w:sz w:val="28"/>
                <w:szCs w:val="28"/>
                <w:vertAlign w:val="subscript"/>
                <w:lang w:eastAsia="en-AU"/>
              </w:rPr>
              <w:br/>
              <w:t>universities’ strategic plans- to demonstrate the axiom:  University for</w:t>
            </w:r>
            <w:r w:rsidRPr="005112F7">
              <w:rPr>
                <w:rFonts w:ascii="Calibri" w:eastAsia="Times New Roman" w:hAnsi="Calibri" w:cs="Calibri"/>
                <w:color w:val="000000"/>
                <w:sz w:val="28"/>
                <w:szCs w:val="28"/>
                <w:vertAlign w:val="subscript"/>
                <w:lang w:eastAsia="en-AU"/>
              </w:rPr>
              <w:br/>
            </w:r>
            <w:r w:rsidRPr="005112F7">
              <w:rPr>
                <w:rFonts w:ascii="Calibri" w:eastAsia="Times New Roman" w:hAnsi="Calibri" w:cs="Calibri"/>
                <w:color w:val="000000"/>
                <w:sz w:val="28"/>
                <w:szCs w:val="28"/>
                <w:vertAlign w:val="subscript"/>
                <w:lang w:eastAsia="en-AU"/>
              </w:rPr>
              <w:lastRenderedPageBreak/>
              <w:t>the common good</w:t>
            </w:r>
            <w:r w:rsidRPr="005112F7">
              <w:rPr>
                <w:rFonts w:ascii="Calibri" w:eastAsia="Times New Roman" w:hAnsi="Calibri" w:cs="Calibri"/>
                <w:color w:val="000000"/>
                <w:sz w:val="28"/>
                <w:szCs w:val="28"/>
                <w:vertAlign w:val="subscript"/>
                <w:lang w:eastAsia="en-AU"/>
              </w:rPr>
              <w:br/>
              <w:t>2.      The University of Calgary, Canada adopt the view that student-run clinics</w:t>
            </w:r>
            <w:r w:rsidRPr="005112F7">
              <w:rPr>
                <w:rFonts w:ascii="Calibri" w:eastAsia="Times New Roman" w:hAnsi="Calibri" w:cs="Calibri"/>
                <w:color w:val="000000"/>
                <w:sz w:val="28"/>
                <w:szCs w:val="28"/>
                <w:vertAlign w:val="subscript"/>
                <w:lang w:eastAsia="en-AU"/>
              </w:rPr>
              <w:br/>
              <w:t>contribute…</w:t>
            </w:r>
            <w:r w:rsidRPr="005112F7">
              <w:rPr>
                <w:rFonts w:ascii="Calibri" w:eastAsia="Times New Roman" w:hAnsi="Calibri" w:cs="Calibri"/>
                <w:color w:val="000000"/>
                <w:sz w:val="28"/>
                <w:szCs w:val="28"/>
                <w:vertAlign w:val="subscript"/>
                <w:lang w:eastAsia="en-AU"/>
              </w:rPr>
              <w:br/>
              <w:t>3.      …programs provide valuable health services to community groups who may</w:t>
            </w:r>
            <w:r w:rsidRPr="005112F7">
              <w:rPr>
                <w:rFonts w:ascii="Calibri" w:eastAsia="Times New Roman" w:hAnsi="Calibri" w:cs="Calibri"/>
                <w:color w:val="000000"/>
                <w:sz w:val="28"/>
                <w:szCs w:val="28"/>
                <w:vertAlign w:val="subscript"/>
                <w:lang w:eastAsia="en-AU"/>
              </w:rPr>
              <w:br/>
              <w:t>not be able to afford regular care while also providing valuable learning</w:t>
            </w:r>
            <w:r w:rsidRPr="005112F7">
              <w:rPr>
                <w:rFonts w:ascii="Calibri" w:eastAsia="Times New Roman" w:hAnsi="Calibri" w:cs="Calibri"/>
                <w:color w:val="000000"/>
                <w:sz w:val="28"/>
                <w:szCs w:val="28"/>
                <w:vertAlign w:val="subscript"/>
                <w:lang w:eastAsia="en-AU"/>
              </w:rPr>
              <w:br/>
              <w:t>experiences for students.</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lastRenderedPageBreak/>
              <w:t xml:space="preserve">All corrected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2 </w:t>
            </w:r>
            <w:r w:rsidRPr="005112F7">
              <w:rPr>
                <w:rFonts w:ascii="Calibri" w:eastAsia="Times New Roman" w:hAnsi="Calibri" w:cs="Calibri"/>
                <w:color w:val="000000"/>
                <w:sz w:val="28"/>
                <w:szCs w:val="28"/>
                <w:vertAlign w:val="subscript"/>
                <w:lang w:eastAsia="en-AU"/>
              </w:rPr>
              <w:br/>
              <w:t>4.      Is there a more recent reference than (Barnett et al., 2008)?</w:t>
            </w:r>
            <w:r w:rsidRPr="005112F7">
              <w:rPr>
                <w:rFonts w:ascii="Calibri" w:eastAsia="Times New Roman" w:hAnsi="Calibri" w:cs="Calibri"/>
                <w:color w:val="000000"/>
                <w:sz w:val="28"/>
                <w:szCs w:val="28"/>
                <w:vertAlign w:val="subscript"/>
                <w:lang w:eastAsia="en-AU"/>
              </w:rPr>
              <w:br/>
              <w:t>5.      UHCs complement clinical education</w:t>
            </w:r>
            <w:r w:rsidRPr="005112F7">
              <w:rPr>
                <w:rFonts w:ascii="Calibri" w:eastAsia="Times New Roman" w:hAnsi="Calibri" w:cs="Calibri"/>
                <w:color w:val="000000"/>
                <w:sz w:val="28"/>
                <w:szCs w:val="28"/>
                <w:vertAlign w:val="subscript"/>
                <w:lang w:eastAsia="en-AU"/>
              </w:rPr>
              <w:br/>
              <w:t>6.      The phrase ‘internships’ may be confused with the more widely</w:t>
            </w:r>
            <w:r w:rsidRPr="005112F7">
              <w:rPr>
                <w:rFonts w:ascii="Calibri" w:eastAsia="Times New Roman" w:hAnsi="Calibri" w:cs="Calibri"/>
                <w:color w:val="000000"/>
                <w:sz w:val="28"/>
                <w:szCs w:val="28"/>
                <w:vertAlign w:val="subscript"/>
                <w:lang w:eastAsia="en-AU"/>
              </w:rPr>
              <w:br/>
              <w:t xml:space="preserve">accepted term of clinical education or clinical placements </w:t>
            </w:r>
            <w:r w:rsidRPr="005112F7">
              <w:rPr>
                <w:rFonts w:ascii="Calibri" w:eastAsia="Times New Roman" w:hAnsi="Calibri" w:cs="Calibri"/>
                <w:color w:val="000000"/>
                <w:sz w:val="28"/>
                <w:szCs w:val="28"/>
                <w:vertAlign w:val="subscript"/>
                <w:lang w:eastAsia="en-AU"/>
              </w:rPr>
              <w:br/>
              <w:t>7.      Many health professions allocate a substantial number of the hours to</w:t>
            </w:r>
            <w:r w:rsidRPr="005112F7">
              <w:rPr>
                <w:rFonts w:ascii="Calibri" w:eastAsia="Times New Roman" w:hAnsi="Calibri" w:cs="Calibri"/>
                <w:color w:val="000000"/>
                <w:sz w:val="28"/>
                <w:szCs w:val="28"/>
                <w:vertAlign w:val="subscript"/>
                <w:lang w:eastAsia="en-AU"/>
              </w:rPr>
              <w:br/>
              <w:t>clinical learning within a UHC – there is no basis provided for this claim</w:t>
            </w:r>
            <w:r w:rsidRPr="005112F7">
              <w:rPr>
                <w:rFonts w:ascii="Calibri" w:eastAsia="Times New Roman" w:hAnsi="Calibri" w:cs="Calibri"/>
                <w:color w:val="000000"/>
                <w:sz w:val="28"/>
                <w:szCs w:val="28"/>
                <w:vertAlign w:val="subscript"/>
                <w:lang w:eastAsia="en-AU"/>
              </w:rPr>
              <w:br/>
              <w:t>– the comment above is that this writing represents a ‘general</w:t>
            </w:r>
            <w:r w:rsidRPr="005112F7">
              <w:rPr>
                <w:rFonts w:ascii="Calibri" w:eastAsia="Times New Roman" w:hAnsi="Calibri" w:cs="Calibri"/>
                <w:color w:val="000000"/>
                <w:sz w:val="28"/>
                <w:szCs w:val="28"/>
                <w:vertAlign w:val="subscript"/>
                <w:lang w:eastAsia="en-AU"/>
              </w:rPr>
              <w:br/>
              <w:t>hypothesis’</w:t>
            </w:r>
          </w:p>
        </w:tc>
        <w:tc>
          <w:tcPr>
            <w:tcW w:w="1933" w:type="dxa"/>
          </w:tcPr>
          <w:p w:rsidR="005112F7" w:rsidRPr="005112F7" w:rsidRDefault="005112F7" w:rsidP="005112F7">
            <w:pPr>
              <w:shd w:val="clear" w:color="auto" w:fill="F4F4F4"/>
              <w:textAlignment w:val="center"/>
              <w:rPr>
                <w:rFonts w:ascii="Calibri" w:eastAsia="Times New Roman" w:hAnsi="Calibri" w:cs="Calibri"/>
                <w:color w:val="000000"/>
                <w:sz w:val="28"/>
                <w:szCs w:val="28"/>
                <w:vertAlign w:val="subscript"/>
                <w:lang w:eastAsia="en-AU"/>
              </w:rPr>
            </w:pP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4. No. </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5. adjusted the grammar</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6. amended </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7. As a group we know this</w:t>
            </w:r>
            <w:r w:rsidR="005112F7" w:rsidRPr="005112F7">
              <w:rPr>
                <w:rFonts w:ascii="Calibri" w:eastAsia="Times New Roman" w:hAnsi="Calibri" w:cs="Calibri"/>
                <w:color w:val="000000"/>
                <w:sz w:val="28"/>
                <w:szCs w:val="28"/>
                <w:vertAlign w:val="subscript"/>
                <w:lang w:eastAsia="en-AU"/>
              </w:rPr>
              <w:t xml:space="preserve"> </w:t>
            </w:r>
            <w:r w:rsidRPr="005112F7">
              <w:rPr>
                <w:rFonts w:ascii="Calibri" w:eastAsia="Times New Roman" w:hAnsi="Calibri" w:cs="Calibri"/>
                <w:color w:val="000000"/>
                <w:sz w:val="28"/>
                <w:szCs w:val="28"/>
                <w:vertAlign w:val="subscript"/>
                <w:lang w:eastAsia="en-AU"/>
              </w:rPr>
              <w:t xml:space="preserve">- so this has been restated.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3 </w:t>
            </w:r>
            <w:r w:rsidRPr="005112F7">
              <w:rPr>
                <w:rFonts w:ascii="Calibri" w:eastAsia="Times New Roman" w:hAnsi="Calibri" w:cs="Calibri"/>
                <w:color w:val="000000"/>
                <w:sz w:val="28"/>
                <w:szCs w:val="28"/>
                <w:vertAlign w:val="subscript"/>
                <w:lang w:eastAsia="en-AU"/>
              </w:rPr>
              <w:br/>
            </w:r>
            <w:r w:rsidRPr="005112F7">
              <w:rPr>
                <w:rFonts w:ascii="Calibri" w:eastAsia="Times New Roman" w:hAnsi="Calibri" w:cs="Calibri"/>
                <w:color w:val="000000"/>
                <w:sz w:val="28"/>
                <w:szCs w:val="28"/>
                <w:vertAlign w:val="subscript"/>
                <w:lang w:eastAsia="en-AU"/>
              </w:rPr>
              <w:br/>
              <w:t>8.      Unlike external businesses who are required to sustain economic</w:t>
            </w:r>
            <w:r w:rsidRPr="005112F7">
              <w:rPr>
                <w:rFonts w:ascii="Calibri" w:eastAsia="Times New Roman" w:hAnsi="Calibri" w:cs="Calibri"/>
                <w:color w:val="000000"/>
                <w:sz w:val="28"/>
                <w:szCs w:val="28"/>
                <w:vertAlign w:val="subscript"/>
                <w:lang w:eastAsia="en-AU"/>
              </w:rPr>
              <w:br/>
              <w:t>viability, the goal of UHCs are more likely to be non-profit – suggesting</w:t>
            </w:r>
            <w:r w:rsidRPr="005112F7">
              <w:rPr>
                <w:rFonts w:ascii="Calibri" w:eastAsia="Times New Roman" w:hAnsi="Calibri" w:cs="Calibri"/>
                <w:color w:val="000000"/>
                <w:sz w:val="28"/>
                <w:szCs w:val="28"/>
                <w:vertAlign w:val="subscript"/>
                <w:lang w:eastAsia="en-AU"/>
              </w:rPr>
              <w:br/>
              <w:t>they are cost neutral does not consider the provision of academic staff</w:t>
            </w:r>
            <w:r w:rsidRPr="005112F7">
              <w:rPr>
                <w:rFonts w:ascii="Calibri" w:eastAsia="Times New Roman" w:hAnsi="Calibri" w:cs="Calibri"/>
                <w:color w:val="000000"/>
                <w:sz w:val="28"/>
                <w:szCs w:val="28"/>
                <w:vertAlign w:val="subscript"/>
                <w:lang w:eastAsia="en-AU"/>
              </w:rPr>
              <w:br/>
              <w:t>support, any administrative costs, even within a university framework the</w:t>
            </w:r>
            <w:r w:rsidRPr="005112F7">
              <w:rPr>
                <w:rFonts w:ascii="Calibri" w:eastAsia="Times New Roman" w:hAnsi="Calibri" w:cs="Calibri"/>
                <w:color w:val="000000"/>
                <w:sz w:val="28"/>
                <w:szCs w:val="28"/>
                <w:vertAlign w:val="subscript"/>
                <w:lang w:eastAsia="en-AU"/>
              </w:rPr>
              <w:br/>
              <w:t>UHC will still have indirect costs such as insurance, space, equipment,</w:t>
            </w:r>
            <w:r w:rsidRPr="005112F7">
              <w:rPr>
                <w:rFonts w:ascii="Calibri" w:eastAsia="Times New Roman" w:hAnsi="Calibri" w:cs="Calibri"/>
                <w:color w:val="000000"/>
                <w:sz w:val="28"/>
                <w:szCs w:val="28"/>
                <w:vertAlign w:val="subscript"/>
                <w:lang w:eastAsia="en-AU"/>
              </w:rPr>
              <w:br/>
              <w:t>governance….an argument might be made for the role of the UHC to offset</w:t>
            </w:r>
            <w:r w:rsidRPr="005112F7">
              <w:rPr>
                <w:rFonts w:ascii="Calibri" w:eastAsia="Times New Roman" w:hAnsi="Calibri" w:cs="Calibri"/>
                <w:color w:val="000000"/>
                <w:sz w:val="28"/>
                <w:szCs w:val="28"/>
                <w:vertAlign w:val="subscript"/>
                <w:lang w:eastAsia="en-AU"/>
              </w:rPr>
              <w:br/>
              <w:t>the cost/s of an externally sourced placement.</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8. Excellent point – now included for clarification.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Page 4</w:t>
            </w:r>
            <w:r w:rsidRPr="005112F7">
              <w:rPr>
                <w:rFonts w:ascii="Calibri" w:eastAsia="Times New Roman" w:hAnsi="Calibri" w:cs="Calibri"/>
                <w:color w:val="000000"/>
                <w:sz w:val="28"/>
                <w:szCs w:val="28"/>
                <w:vertAlign w:val="subscript"/>
                <w:lang w:eastAsia="en-AU"/>
              </w:rPr>
              <w:br/>
              <w:t>9.      It is not explicit until page 4 ‘This report introduces the</w:t>
            </w:r>
            <w:r w:rsidRPr="005112F7">
              <w:rPr>
                <w:rFonts w:ascii="Calibri" w:eastAsia="Times New Roman" w:hAnsi="Calibri" w:cs="Calibri"/>
                <w:color w:val="000000"/>
                <w:sz w:val="28"/>
                <w:szCs w:val="28"/>
                <w:vertAlign w:val="subscript"/>
                <w:lang w:eastAsia="en-AU"/>
              </w:rPr>
              <w:br/>
              <w:t>considerations of the HTAG members..’ as to what the paper is directed to</w:t>
            </w:r>
            <w:r w:rsidRPr="005112F7">
              <w:rPr>
                <w:rFonts w:ascii="Calibri" w:eastAsia="Times New Roman" w:hAnsi="Calibri" w:cs="Calibri"/>
                <w:color w:val="000000"/>
                <w:sz w:val="28"/>
                <w:szCs w:val="28"/>
                <w:vertAlign w:val="subscript"/>
                <w:lang w:eastAsia="en-AU"/>
              </w:rPr>
              <w:br/>
              <w:t>do. Prior to this statement an aim and objective of the HTAG is provided but</w:t>
            </w:r>
            <w:r w:rsidRPr="005112F7">
              <w:rPr>
                <w:rFonts w:ascii="Calibri" w:eastAsia="Times New Roman" w:hAnsi="Calibri" w:cs="Calibri"/>
                <w:color w:val="000000"/>
                <w:sz w:val="28"/>
                <w:szCs w:val="28"/>
                <w:vertAlign w:val="subscript"/>
                <w:lang w:eastAsia="en-AU"/>
              </w:rPr>
              <w:br/>
              <w:t xml:space="preserve">this is distinct to the purpose of the paper.  </w:t>
            </w:r>
            <w:r w:rsidRPr="005112F7">
              <w:rPr>
                <w:rFonts w:ascii="Calibri" w:eastAsia="Times New Roman" w:hAnsi="Calibri" w:cs="Calibri"/>
                <w:color w:val="000000"/>
                <w:sz w:val="28"/>
                <w:szCs w:val="28"/>
                <w:vertAlign w:val="subscript"/>
                <w:lang w:eastAsia="en-AU"/>
              </w:rPr>
              <w:br/>
              <w:t>10.     See comment 8 regarding the description of the financing of UHC. The</w:t>
            </w:r>
            <w:r w:rsidRPr="005112F7">
              <w:rPr>
                <w:rFonts w:ascii="Calibri" w:eastAsia="Times New Roman" w:hAnsi="Calibri" w:cs="Calibri"/>
                <w:color w:val="000000"/>
                <w:sz w:val="28"/>
                <w:szCs w:val="28"/>
                <w:vertAlign w:val="subscript"/>
                <w:lang w:eastAsia="en-AU"/>
              </w:rPr>
              <w:br/>
              <w:t>paper has both cost neutral and then identifies that some may need a</w:t>
            </w:r>
            <w:r w:rsidRPr="005112F7">
              <w:rPr>
                <w:rFonts w:ascii="Calibri" w:eastAsia="Times New Roman" w:hAnsi="Calibri" w:cs="Calibri"/>
                <w:color w:val="000000"/>
                <w:sz w:val="28"/>
                <w:szCs w:val="28"/>
                <w:vertAlign w:val="subscript"/>
                <w:lang w:eastAsia="en-AU"/>
              </w:rPr>
              <w:br/>
              <w:t>financial imperative to be viable. The author will need to clarify the</w:t>
            </w:r>
            <w:r w:rsidRPr="005112F7">
              <w:rPr>
                <w:rFonts w:ascii="Calibri" w:eastAsia="Times New Roman" w:hAnsi="Calibri" w:cs="Calibri"/>
                <w:color w:val="000000"/>
                <w:sz w:val="28"/>
                <w:szCs w:val="28"/>
                <w:vertAlign w:val="subscript"/>
                <w:lang w:eastAsia="en-AU"/>
              </w:rPr>
              <w:br/>
              <w:t xml:space="preserve">description of costs and modelling associated with a UHC. </w:t>
            </w:r>
            <w:r w:rsidRPr="005112F7">
              <w:rPr>
                <w:rFonts w:ascii="Calibri" w:eastAsia="Times New Roman" w:hAnsi="Calibri" w:cs="Calibri"/>
                <w:color w:val="000000"/>
                <w:sz w:val="28"/>
                <w:szCs w:val="28"/>
                <w:vertAlign w:val="subscript"/>
                <w:lang w:eastAsia="en-AU"/>
              </w:rPr>
              <w:br/>
              <w:t>11.     There needs to be a clearer definition of ‘University hospital’</w:t>
            </w:r>
            <w:r w:rsidRPr="005112F7">
              <w:rPr>
                <w:rFonts w:ascii="Calibri" w:eastAsia="Times New Roman" w:hAnsi="Calibri" w:cs="Calibri"/>
                <w:color w:val="000000"/>
                <w:sz w:val="28"/>
                <w:szCs w:val="28"/>
                <w:vertAlign w:val="subscript"/>
                <w:lang w:eastAsia="en-AU"/>
              </w:rPr>
              <w:br/>
              <w:t>provided. This label may not articulate with other Australian states where a different relationship of ‘teaching’ hospital has a different meaning or indeed where hospital may not have an explicit or implied relationship with any health education.</w:t>
            </w:r>
            <w:r w:rsidRPr="005112F7">
              <w:rPr>
                <w:rFonts w:ascii="Calibri" w:eastAsia="Times New Roman" w:hAnsi="Calibri" w:cs="Calibri"/>
                <w:color w:val="000000"/>
                <w:sz w:val="28"/>
                <w:szCs w:val="28"/>
                <w:vertAlign w:val="subscript"/>
                <w:lang w:eastAsia="en-AU"/>
              </w:rPr>
              <w:br/>
              <w:t>12.      there is a primary expectation</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9. This is now addressed in the Abstract</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10. Clarified. </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11.  Clarified</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The definition has been strengthened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6 </w:t>
            </w:r>
            <w:r w:rsidRPr="005112F7">
              <w:rPr>
                <w:rFonts w:ascii="Calibri" w:eastAsia="Times New Roman" w:hAnsi="Calibri" w:cs="Calibri"/>
                <w:color w:val="000000"/>
                <w:sz w:val="28"/>
                <w:szCs w:val="28"/>
                <w:vertAlign w:val="subscript"/>
                <w:lang w:eastAsia="en-AU"/>
              </w:rPr>
              <w:br/>
              <w:t xml:space="preserve">13.     because all clients understand and are respectful of students’ need to learn…..It is not </w:t>
            </w:r>
            <w:r w:rsidRPr="005112F7">
              <w:rPr>
                <w:rFonts w:ascii="Calibri" w:eastAsia="Times New Roman" w:hAnsi="Calibri" w:cs="Calibri"/>
                <w:color w:val="000000"/>
                <w:sz w:val="28"/>
                <w:szCs w:val="28"/>
                <w:vertAlign w:val="subscript"/>
                <w:lang w:eastAsia="en-AU"/>
              </w:rPr>
              <w:lastRenderedPageBreak/>
              <w:t>clear as to how the claim that all clients understand and are respectful of students needs to learn can be made.</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lastRenderedPageBreak/>
              <w:t xml:space="preserve">13. This statement was in reference to work of </w:t>
            </w:r>
            <w:r w:rsidRPr="005112F7">
              <w:rPr>
                <w:rFonts w:ascii="Calibri" w:eastAsia="Times New Roman" w:hAnsi="Calibri" w:cs="Calibri"/>
                <w:color w:val="000000"/>
                <w:sz w:val="28"/>
                <w:szCs w:val="28"/>
                <w:vertAlign w:val="subscript"/>
                <w:lang w:eastAsia="en-AU"/>
              </w:rPr>
              <w:lastRenderedPageBreak/>
              <w:t xml:space="preserve">Barro and McKimm and Bostick et all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lastRenderedPageBreak/>
              <w:t xml:space="preserve">Page 7 </w:t>
            </w:r>
            <w:r w:rsidRPr="005112F7">
              <w:rPr>
                <w:rFonts w:ascii="Calibri" w:eastAsia="Times New Roman" w:hAnsi="Calibri" w:cs="Calibri"/>
                <w:color w:val="000000"/>
                <w:sz w:val="28"/>
                <w:szCs w:val="28"/>
                <w:vertAlign w:val="subscript"/>
                <w:lang w:eastAsia="en-AU"/>
              </w:rPr>
              <w:br/>
              <w:t>14.     Learning activities</w:t>
            </w:r>
            <w:r w:rsidRPr="005112F7">
              <w:rPr>
                <w:rFonts w:ascii="Calibri" w:eastAsia="Times New Roman" w:hAnsi="Calibri" w:cs="Calibri"/>
                <w:color w:val="000000"/>
                <w:sz w:val="28"/>
                <w:szCs w:val="28"/>
                <w:vertAlign w:val="subscript"/>
                <w:lang w:eastAsia="en-AU"/>
              </w:rPr>
              <w:br/>
              <w:t>15.     overall function of a clinic and it’s complexity,…</w:t>
            </w:r>
            <w:r w:rsidRPr="005112F7">
              <w:rPr>
                <w:rFonts w:ascii="Calibri" w:eastAsia="Times New Roman" w:hAnsi="Calibri" w:cs="Calibri"/>
                <w:color w:val="000000"/>
                <w:sz w:val="28"/>
                <w:szCs w:val="28"/>
                <w:vertAlign w:val="subscript"/>
                <w:lang w:eastAsia="en-AU"/>
              </w:rPr>
              <w:br/>
              <w:t>16.     The resultant development of a broad skill base is considered by the HTAG members, a response to students being…</w:t>
            </w:r>
            <w:r w:rsidRPr="005112F7">
              <w:rPr>
                <w:rFonts w:ascii="Calibri" w:eastAsia="Times New Roman" w:hAnsi="Calibri" w:cs="Calibri"/>
                <w:color w:val="000000"/>
                <w:sz w:val="28"/>
                <w:szCs w:val="28"/>
                <w:vertAlign w:val="subscript"/>
                <w:lang w:eastAsia="en-AU"/>
              </w:rPr>
              <w:br/>
              <w:t xml:space="preserve">17.     This sentence doesn’t make sense ‘In UHCs of during SLCS students often work alongside… </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14. Corrected</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15 Corrected</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16. Corrected</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17. Corrected </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8 </w:t>
            </w:r>
            <w:r w:rsidRPr="005112F7">
              <w:rPr>
                <w:rFonts w:ascii="Calibri" w:eastAsia="Times New Roman" w:hAnsi="Calibri" w:cs="Calibri"/>
                <w:color w:val="000000"/>
                <w:sz w:val="28"/>
                <w:szCs w:val="28"/>
                <w:vertAlign w:val="subscript"/>
                <w:lang w:eastAsia="en-AU"/>
              </w:rPr>
              <w:br/>
              <w:t>18.     These are, as stated earlier,  are clinics which are similar in nature to those for SLCS in UHCs…</w:t>
            </w:r>
            <w:r w:rsidRPr="005112F7">
              <w:rPr>
                <w:rFonts w:ascii="Calibri" w:eastAsia="Times New Roman" w:hAnsi="Calibri" w:cs="Calibri"/>
                <w:color w:val="000000"/>
                <w:sz w:val="28"/>
                <w:szCs w:val="28"/>
                <w:vertAlign w:val="subscript"/>
                <w:lang w:eastAsia="en-AU"/>
              </w:rPr>
              <w:br/>
              <w:t>19.     They wrote…?</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18-19 Corrected.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9 </w:t>
            </w:r>
            <w:r w:rsidRPr="005112F7">
              <w:rPr>
                <w:rFonts w:ascii="Calibri" w:eastAsia="Times New Roman" w:hAnsi="Calibri" w:cs="Calibri"/>
                <w:color w:val="000000"/>
                <w:sz w:val="28"/>
                <w:szCs w:val="28"/>
                <w:vertAlign w:val="subscript"/>
                <w:lang w:eastAsia="en-AU"/>
              </w:rPr>
              <w:br/>
              <w:t>20.     This sentence is awkward to read ‘In Australia, UHCs rely on clients who are prepared to self-fund treatments because third-party payments from for example: Department of Veteran Affairs, Motor Vehicle Accident, Workers</w:t>
            </w:r>
            <w:r w:rsidRPr="005112F7">
              <w:rPr>
                <w:rFonts w:ascii="Calibri" w:eastAsia="Times New Roman" w:hAnsi="Calibri" w:cs="Calibri"/>
                <w:color w:val="000000"/>
                <w:sz w:val="28"/>
                <w:szCs w:val="28"/>
                <w:vertAlign w:val="subscript"/>
                <w:lang w:eastAsia="en-AU"/>
              </w:rPr>
              <w:br/>
              <w:t>Compensation, Medicare’…</w:t>
            </w:r>
            <w:r w:rsidRPr="005112F7">
              <w:rPr>
                <w:rFonts w:ascii="Calibri" w:eastAsia="Times New Roman" w:hAnsi="Calibri" w:cs="Calibri"/>
                <w:color w:val="000000"/>
                <w:sz w:val="28"/>
                <w:szCs w:val="28"/>
                <w:vertAlign w:val="subscript"/>
                <w:lang w:eastAsia="en-AU"/>
              </w:rPr>
              <w:br/>
              <w:t>21.     ‘students. conversely’ – full stop incorrectly placed or capital</w:t>
            </w:r>
            <w:r w:rsidRPr="005112F7">
              <w:rPr>
                <w:rFonts w:ascii="Calibri" w:eastAsia="Times New Roman" w:hAnsi="Calibri" w:cs="Calibri"/>
                <w:color w:val="000000"/>
                <w:sz w:val="28"/>
                <w:szCs w:val="28"/>
                <w:vertAlign w:val="subscript"/>
                <w:lang w:eastAsia="en-AU"/>
              </w:rPr>
              <w:br/>
              <w:t>missing</w:t>
            </w:r>
            <w:r w:rsidRPr="005112F7">
              <w:rPr>
                <w:rFonts w:ascii="Calibri" w:eastAsia="Times New Roman" w:hAnsi="Calibri" w:cs="Calibri"/>
                <w:color w:val="000000"/>
                <w:sz w:val="28"/>
                <w:szCs w:val="28"/>
                <w:vertAlign w:val="subscript"/>
                <w:lang w:eastAsia="en-AU"/>
              </w:rPr>
              <w:br/>
              <w:t>22.     The relative benefits to clients and the negative aspects of student learning could be separated more clearly in the sentences ‘SLCS can provide a solution for these clients. This does mean students are not orientated to different clinical funding models for service delivery. Similarly, they do not always have an opportunity to learn real…</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20-21 Corrected </w:t>
            </w:r>
          </w:p>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22. Clarified.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10 </w:t>
            </w:r>
            <w:r w:rsidRPr="005112F7">
              <w:rPr>
                <w:rFonts w:ascii="Calibri" w:eastAsia="Times New Roman" w:hAnsi="Calibri" w:cs="Calibri"/>
                <w:color w:val="000000"/>
                <w:sz w:val="28"/>
                <w:szCs w:val="28"/>
                <w:vertAlign w:val="subscript"/>
                <w:lang w:eastAsia="en-AU"/>
              </w:rPr>
              <w:br/>
              <w:t>23.     What is the ‘going rate’ – is this a co-payment, the full non</w:t>
            </w:r>
            <w:r w:rsidRPr="005112F7">
              <w:rPr>
                <w:rFonts w:ascii="Calibri" w:eastAsia="Times New Roman" w:hAnsi="Calibri" w:cs="Calibri"/>
                <w:color w:val="000000"/>
                <w:sz w:val="28"/>
                <w:szCs w:val="28"/>
                <w:vertAlign w:val="subscript"/>
                <w:lang w:eastAsia="en-AU"/>
              </w:rPr>
              <w:br/>
              <w:t>subsidised cost, the normal Medicare fee….</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23. Clarified</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Page 11</w:t>
            </w:r>
            <w:r w:rsidRPr="005112F7">
              <w:rPr>
                <w:rFonts w:ascii="Calibri" w:eastAsia="Times New Roman" w:hAnsi="Calibri" w:cs="Calibri"/>
                <w:color w:val="000000"/>
                <w:sz w:val="28"/>
                <w:szCs w:val="28"/>
                <w:vertAlign w:val="subscript"/>
                <w:lang w:eastAsia="en-AU"/>
              </w:rPr>
              <w:br/>
              <w:t xml:space="preserve">24.     Also, a sustained commitment to the clinic by the University– might not make money to begin with but over time can reach a sustainable level – again this seems at odds with the label or identification of a cost neutral (or not for profit) financially model. I suggest the </w:t>
            </w:r>
            <w:bookmarkStart w:id="1" w:name="_Hlk496084611"/>
            <w:r w:rsidRPr="005112F7">
              <w:rPr>
                <w:rFonts w:ascii="Calibri" w:eastAsia="Times New Roman" w:hAnsi="Calibri" w:cs="Calibri"/>
                <w:color w:val="000000"/>
                <w:sz w:val="28"/>
                <w:szCs w:val="28"/>
                <w:vertAlign w:val="subscript"/>
                <w:lang w:eastAsia="en-AU"/>
              </w:rPr>
              <w:t>HTAG could make a much clearer statement as to either supporting a standard model financial model to underpin the establishment and maintenance of a UHC or the HTAG can</w:t>
            </w:r>
            <w:r w:rsidRPr="005112F7">
              <w:rPr>
                <w:rFonts w:ascii="Calibri" w:eastAsia="Times New Roman" w:hAnsi="Calibri" w:cs="Calibri"/>
                <w:color w:val="000000"/>
                <w:sz w:val="28"/>
                <w:szCs w:val="28"/>
                <w:vertAlign w:val="subscript"/>
                <w:lang w:eastAsia="en-AU"/>
              </w:rPr>
              <w:br/>
              <w:t>acknowledge the need for a more diverse set of founding principles. For example arguing for a nationally consistent approach to the funding and management of UHC through clinical training funds, as an element of HECS costs, as a protected component of clinical placement costs etc etc</w:t>
            </w:r>
            <w:bookmarkEnd w:id="1"/>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This </w:t>
            </w:r>
            <w:r w:rsidR="005112F7" w:rsidRPr="005112F7">
              <w:rPr>
                <w:rFonts w:ascii="Calibri" w:eastAsia="Times New Roman" w:hAnsi="Calibri" w:cs="Calibri"/>
                <w:color w:val="000000"/>
                <w:sz w:val="28"/>
                <w:szCs w:val="28"/>
                <w:vertAlign w:val="subscript"/>
                <w:lang w:eastAsia="en-AU"/>
              </w:rPr>
              <w:t>is excellent</w:t>
            </w:r>
            <w:r w:rsidRPr="005112F7">
              <w:rPr>
                <w:rFonts w:ascii="Calibri" w:eastAsia="Times New Roman" w:hAnsi="Calibri" w:cs="Calibri"/>
                <w:color w:val="000000"/>
                <w:sz w:val="28"/>
                <w:szCs w:val="28"/>
                <w:vertAlign w:val="subscript"/>
                <w:lang w:eastAsia="en-AU"/>
              </w:rPr>
              <w:t xml:space="preserve"> feedback and we have included the point.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Page 12 </w:t>
            </w:r>
            <w:r w:rsidRPr="005112F7">
              <w:rPr>
                <w:rFonts w:ascii="Calibri" w:eastAsia="Times New Roman" w:hAnsi="Calibri" w:cs="Calibri"/>
                <w:color w:val="000000"/>
                <w:sz w:val="28"/>
                <w:szCs w:val="28"/>
                <w:vertAlign w:val="subscript"/>
                <w:lang w:eastAsia="en-AU"/>
              </w:rPr>
              <w:br/>
              <w:t>25.     relations ship is mutually</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 xml:space="preserve">25. Amended </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lastRenderedPageBreak/>
              <w:t xml:space="preserve">Page 14 </w:t>
            </w:r>
            <w:r w:rsidRPr="005112F7">
              <w:rPr>
                <w:rFonts w:ascii="Calibri" w:eastAsia="Times New Roman" w:hAnsi="Calibri" w:cs="Calibri"/>
                <w:color w:val="000000"/>
                <w:sz w:val="28"/>
                <w:szCs w:val="28"/>
                <w:vertAlign w:val="subscript"/>
                <w:lang w:eastAsia="en-AU"/>
              </w:rPr>
              <w:br/>
              <w:t>26.     the university aspirations to provide quality clinical placement</w:t>
            </w:r>
            <w:r w:rsidRPr="005112F7">
              <w:rPr>
                <w:rFonts w:ascii="Calibri" w:eastAsia="Times New Roman" w:hAnsi="Calibri" w:cs="Calibri"/>
                <w:color w:val="000000"/>
                <w:sz w:val="28"/>
                <w:szCs w:val="28"/>
                <w:vertAlign w:val="subscript"/>
                <w:lang w:eastAsia="en-AU"/>
              </w:rPr>
              <w:br/>
              <w:t>experiences and provide healthcare delivery to communities – is the role of university to provide health care delivery to communities or to ensure graduates are most capable of providing this care? The distinction is made as the locus of responsibility in this argument needs to be carefully and clearly articulated.</w:t>
            </w: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t>26 Amended</w:t>
            </w:r>
          </w:p>
        </w:tc>
      </w:tr>
      <w:tr w:rsidR="00217497" w:rsidRPr="005112F7" w:rsidTr="005112F7">
        <w:tc>
          <w:tcPr>
            <w:tcW w:w="7083" w:type="dxa"/>
          </w:tcPr>
          <w:p w:rsidR="00217497" w:rsidRPr="005112F7" w:rsidRDefault="00217497" w:rsidP="0012056F">
            <w:pPr>
              <w:shd w:val="clear" w:color="auto" w:fill="F4F4F4"/>
              <w:textAlignment w:val="center"/>
              <w:rPr>
                <w:rFonts w:ascii="Calibri" w:eastAsia="Times New Roman" w:hAnsi="Calibri" w:cs="Calibri"/>
                <w:color w:val="000000"/>
                <w:sz w:val="28"/>
                <w:szCs w:val="28"/>
                <w:vertAlign w:val="subscript"/>
                <w:lang w:eastAsia="en-AU"/>
              </w:rPr>
            </w:pPr>
          </w:p>
        </w:tc>
        <w:tc>
          <w:tcPr>
            <w:tcW w:w="1933" w:type="dxa"/>
          </w:tcPr>
          <w:p w:rsidR="00217497" w:rsidRPr="005112F7" w:rsidRDefault="00217497" w:rsidP="005112F7">
            <w:pPr>
              <w:shd w:val="clear" w:color="auto" w:fill="F4F4F4"/>
              <w:textAlignment w:val="center"/>
              <w:rPr>
                <w:rFonts w:ascii="Calibri" w:eastAsia="Times New Roman" w:hAnsi="Calibri" w:cs="Calibri"/>
                <w:color w:val="000000"/>
                <w:sz w:val="28"/>
                <w:szCs w:val="28"/>
                <w:vertAlign w:val="subscript"/>
                <w:lang w:eastAsia="en-AU"/>
              </w:rPr>
            </w:pPr>
          </w:p>
        </w:tc>
      </w:tr>
    </w:tbl>
    <w:p w:rsidR="00217497" w:rsidRPr="005112F7" w:rsidRDefault="00217497" w:rsidP="00217497">
      <w:pPr>
        <w:shd w:val="clear" w:color="auto" w:fill="F4F4F4"/>
        <w:spacing w:after="0" w:line="240" w:lineRule="auto"/>
        <w:textAlignment w:val="center"/>
        <w:rPr>
          <w:rFonts w:ascii="Calibri" w:eastAsia="Times New Roman" w:hAnsi="Calibri" w:cs="Calibri"/>
          <w:color w:val="000000"/>
          <w:sz w:val="28"/>
          <w:szCs w:val="28"/>
          <w:vertAlign w:val="subscript"/>
          <w:lang w:eastAsia="en-AU"/>
        </w:rPr>
      </w:pPr>
      <w:r w:rsidRPr="005112F7">
        <w:rPr>
          <w:rFonts w:ascii="Calibri" w:eastAsia="Times New Roman" w:hAnsi="Calibri" w:cs="Calibri"/>
          <w:color w:val="000000"/>
          <w:sz w:val="28"/>
          <w:szCs w:val="28"/>
          <w:vertAlign w:val="subscript"/>
          <w:lang w:eastAsia="en-AU"/>
        </w:rPr>
        <w:br/>
      </w:r>
    </w:p>
    <w:p w:rsidR="00D20863" w:rsidRPr="005112F7" w:rsidRDefault="00D20863">
      <w:pPr>
        <w:rPr>
          <w:sz w:val="28"/>
          <w:szCs w:val="28"/>
        </w:rPr>
      </w:pPr>
    </w:p>
    <w:sectPr w:rsidR="00D20863" w:rsidRPr="005112F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AA7" w:rsidRDefault="00C45AA7" w:rsidP="005112F7">
      <w:pPr>
        <w:spacing w:after="0" w:line="240" w:lineRule="auto"/>
      </w:pPr>
      <w:r>
        <w:separator/>
      </w:r>
    </w:p>
  </w:endnote>
  <w:endnote w:type="continuationSeparator" w:id="0">
    <w:p w:rsidR="00C45AA7" w:rsidRDefault="00C45AA7" w:rsidP="0051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2F7" w:rsidRDefault="005112F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112F7" w:rsidRDefault="00511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AA7" w:rsidRDefault="00C45AA7" w:rsidP="005112F7">
      <w:pPr>
        <w:spacing w:after="0" w:line="240" w:lineRule="auto"/>
      </w:pPr>
      <w:r>
        <w:separator/>
      </w:r>
    </w:p>
  </w:footnote>
  <w:footnote w:type="continuationSeparator" w:id="0">
    <w:p w:rsidR="00C45AA7" w:rsidRDefault="00C45AA7" w:rsidP="0051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23A8B"/>
    <w:multiLevelType w:val="hybridMultilevel"/>
    <w:tmpl w:val="5BF0A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97"/>
    <w:rsid w:val="00217497"/>
    <w:rsid w:val="005112F7"/>
    <w:rsid w:val="007C6CA7"/>
    <w:rsid w:val="00C45AA7"/>
    <w:rsid w:val="00D20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DA1B"/>
  <w15:chartTrackingRefBased/>
  <w15:docId w15:val="{950DA2DE-9A56-41FB-AEAC-E7D71F11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2F7"/>
    <w:pPr>
      <w:ind w:left="720"/>
      <w:contextualSpacing/>
    </w:pPr>
  </w:style>
  <w:style w:type="paragraph" w:styleId="Header">
    <w:name w:val="header"/>
    <w:basedOn w:val="Normal"/>
    <w:link w:val="HeaderChar"/>
    <w:uiPriority w:val="99"/>
    <w:unhideWhenUsed/>
    <w:rsid w:val="00511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2F7"/>
  </w:style>
  <w:style w:type="paragraph" w:styleId="Footer">
    <w:name w:val="footer"/>
    <w:basedOn w:val="Normal"/>
    <w:link w:val="FooterChar"/>
    <w:uiPriority w:val="99"/>
    <w:unhideWhenUsed/>
    <w:rsid w:val="00511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Marie</dc:creator>
  <cp:keywords/>
  <dc:description/>
  <cp:lastModifiedBy>Keri Marie</cp:lastModifiedBy>
  <cp:revision>2</cp:revision>
  <dcterms:created xsi:type="dcterms:W3CDTF">2017-11-08T05:48:00Z</dcterms:created>
  <dcterms:modified xsi:type="dcterms:W3CDTF">2017-11-08T05:54:00Z</dcterms:modified>
</cp:coreProperties>
</file>